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F70E" w14:textId="77777777" w:rsidR="004A78F0" w:rsidRPr="0003682E" w:rsidRDefault="004A78F0" w:rsidP="004A78F0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401274D4" w14:textId="77777777" w:rsidR="004A78F0" w:rsidRPr="0003682E" w:rsidRDefault="004A78F0" w:rsidP="004A78F0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1F18D152" w14:textId="77777777" w:rsidR="004A78F0" w:rsidRPr="0003682E" w:rsidRDefault="004A78F0" w:rsidP="004A78F0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1622F223" w14:textId="77777777" w:rsidR="004A78F0" w:rsidRPr="0003682E" w:rsidRDefault="004A78F0" w:rsidP="004A78F0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55AFD6CB" w14:textId="70FF9BDD" w:rsidR="004A78F0" w:rsidRPr="0003682E" w:rsidRDefault="004A78F0" w:rsidP="004A78F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Evidence Synthesis and Tables</w:t>
      </w:r>
    </w:p>
    <w:p w14:paraId="55D01EC8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14:paraId="2C39D438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418F41F5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2FE23723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1469F91B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40864DE9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7B67B9F5" w14:textId="77777777" w:rsidR="004A78F0" w:rsidRPr="0003682E" w:rsidRDefault="004A78F0" w:rsidP="004A78F0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656E91D9" w14:textId="77777777" w:rsidR="004A78F0" w:rsidRDefault="004A78F0" w:rsidP="004A78F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Evidence Synthesis and Tables</w:t>
      </w:r>
    </w:p>
    <w:p w14:paraId="1CFEA3A7" w14:textId="3323B33B" w:rsidR="00F32476" w:rsidRDefault="00F32476" w:rsidP="00F32476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Purpose Statement</w:t>
      </w:r>
    </w:p>
    <w:p w14:paraId="383C74D0" w14:textId="220452AF" w:rsidR="00F32476" w:rsidRDefault="00C9155D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purpose of the DNP project is to </w:t>
      </w:r>
      <w:r w:rsidR="00FD3192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enhance confidence and conviction among healthcare staff in managing patients with bipolar disorder </w:t>
      </w:r>
      <w:r w:rsidR="00EE48CE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through the implementation of the teach-back method</w:t>
      </w:r>
      <w:r w:rsidR="00874C69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, which is an evidence-based strategy focused on </w:t>
      </w:r>
      <w:r w:rsidR="008218D5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improving patient understanding, communication and adherence </w:t>
      </w:r>
      <w:r w:rsidR="00650538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to</w:t>
      </w:r>
      <w:r w:rsidR="003C0AD4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650538" w:rsidRPr="000A21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treatment and care plans. </w:t>
      </w:r>
    </w:p>
    <w:p w14:paraId="30DAEF3E" w14:textId="65F16F93" w:rsidR="008A78BF" w:rsidRPr="00D84DEA" w:rsidRDefault="008A78BF" w:rsidP="00D84DEA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D84D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Introduction of the Practice Problem</w:t>
      </w:r>
    </w:p>
    <w:p w14:paraId="409969F4" w14:textId="33F6C22E" w:rsidR="008A78BF" w:rsidRDefault="004433B4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Bipolar disorder is a </w:t>
      </w:r>
      <w:r w:rsidR="00CF34B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menta</w:t>
      </w:r>
      <w:r w:rsidR="005D233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l</w:t>
      </w:r>
      <w:r w:rsidR="00CF34B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health condition attributed by </w:t>
      </w:r>
      <w:r w:rsidR="00F91CC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extreme mood swings and depressive episodes </w:t>
      </w:r>
      <w:r w:rsidR="001D37F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which can impact the quality of life in patients </w:t>
      </w:r>
      <w:r w:rsidR="0071532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thereby requiring </w:t>
      </w:r>
      <w:r w:rsidR="0052006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continuous</w:t>
      </w:r>
      <w:r w:rsidR="0071532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management to promote positive health outcomes. </w:t>
      </w:r>
      <w:r w:rsidR="00DE71C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Healthcare providers mostly struggle with effective communication strategies </w:t>
      </w:r>
      <w:r w:rsidR="00F7463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and ensuring that patients adhere to their treatment plans</w:t>
      </w:r>
      <w:r w:rsidR="00A3520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, leading to gaps in medication compliance</w:t>
      </w:r>
      <w:r w:rsidR="00BB3D1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and patient education</w:t>
      </w:r>
      <w:r w:rsidR="009224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AB5750" w:rsidRPr="00124FBD">
        <w:rPr>
          <w:rFonts w:ascii="Times New Roman" w:hAnsi="Times New Roman" w:cs="Times New Roman"/>
          <w:sz w:val="24"/>
          <w:szCs w:val="24"/>
        </w:rPr>
        <w:t>Youn</w:t>
      </w:r>
      <w:r w:rsidR="00AB5750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224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BB3D1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.</w:t>
      </w:r>
      <w:r w:rsidR="008865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Further, the lack of conviction and confidence </w:t>
      </w:r>
      <w:r w:rsidR="00FB71B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among staff members when handling patients can also contribute to </w:t>
      </w:r>
      <w:r w:rsidR="009A4CE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poor relationships between the patient and healthcare providers, </w:t>
      </w:r>
      <w:r w:rsidR="006002E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high hospital readmissions and inconsistency in care</w:t>
      </w:r>
      <w:r w:rsidR="009224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D4008E" w:rsidRPr="00A0359B">
        <w:rPr>
          <w:rFonts w:ascii="Times New Roman" w:hAnsi="Times New Roman" w:cs="Times New Roman"/>
          <w:sz w:val="24"/>
          <w:szCs w:val="24"/>
        </w:rPr>
        <w:t>Tamene</w:t>
      </w:r>
      <w:r w:rsidR="00D4008E">
        <w:rPr>
          <w:rFonts w:ascii="Times New Roman" w:hAnsi="Times New Roman" w:cs="Times New Roman"/>
          <w:sz w:val="24"/>
          <w:szCs w:val="24"/>
        </w:rPr>
        <w:t xml:space="preserve"> et al., 2025</w:t>
      </w:r>
      <w:r w:rsidR="009224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6002E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A5176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Addressing nonadherence to medication </w:t>
      </w:r>
      <w:r w:rsidR="00F1544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is necessary through structured communication approaches like the teach-back method </w:t>
      </w:r>
      <w:r w:rsidR="0016247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which will help to empower healthcare providers and ultimately improve health outcomes. </w:t>
      </w:r>
    </w:p>
    <w:p w14:paraId="6C858F26" w14:textId="676FFD51" w:rsidR="00D84DEA" w:rsidRPr="00630660" w:rsidRDefault="00D84DEA" w:rsidP="00630660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630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Introduction of the Evidence-Based Intervention</w:t>
      </w:r>
    </w:p>
    <w:p w14:paraId="55661736" w14:textId="5A7570AD" w:rsidR="00D84DEA" w:rsidRDefault="00C37074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evidence-based intervention is the teach-back method </w:t>
      </w:r>
      <w:r w:rsidR="003D441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to uphold confidence and conviction among nurses towards improving medication adherence. </w:t>
      </w:r>
      <w:r w:rsidR="0021778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teach-back method is a communication approach that enhances </w:t>
      </w:r>
      <w:r w:rsidR="00866F8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patient adherence and understanding by </w:t>
      </w:r>
      <w:r w:rsidR="006C395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asking patients to repeat the information provided by nurses in their own words. </w:t>
      </w:r>
      <w:r w:rsidR="009D4F2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Findings indicate that the teach-</w:t>
      </w:r>
      <w:r w:rsidR="009D4F2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back method is effective in </w:t>
      </w:r>
      <w:r w:rsidR="00E70FC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improving self-management, medication adherence and patient engagement </w:t>
      </w:r>
      <w:r w:rsidR="00CD221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during the management of bipolar disorder. </w:t>
      </w:r>
      <w:r w:rsidR="00AA05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For </w:t>
      </w:r>
      <w:r w:rsidR="008C47B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instance,</w:t>
      </w:r>
      <w:r w:rsidR="00AA05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E87924" w:rsidRPr="00B83AFF">
        <w:rPr>
          <w:rFonts w:ascii="Times New Roman" w:hAnsi="Times New Roman" w:cs="Times New Roman"/>
          <w:sz w:val="24"/>
          <w:szCs w:val="24"/>
        </w:rPr>
        <w:t>Holcomb</w:t>
      </w:r>
      <w:r w:rsidR="00E87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 </w:t>
      </w:r>
      <w:r w:rsidR="00AA05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E87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2022</w:t>
      </w:r>
      <w:r w:rsidR="00AA05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 argues that the teach-back method </w:t>
      </w:r>
      <w:r w:rsidR="004F581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is an intervention that has significantly improved </w:t>
      </w:r>
      <w:r w:rsidR="00626E7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patient understanding of health information, resulting in </w:t>
      </w:r>
      <w:r w:rsidR="006332A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better adherence to care plans. </w:t>
      </w:r>
      <w:r w:rsidR="00AA6EC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There has also been a reduction in hospital readmissions </w:t>
      </w:r>
      <w:r w:rsidR="006D595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and ER visits</w:t>
      </w:r>
      <w:r w:rsidR="009200C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, where integrating the approach in clinical </w:t>
      </w:r>
      <w:r w:rsidR="0067187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practice will help to develop </w:t>
      </w:r>
      <w:r w:rsidR="0094003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confidence and conviction when managing patients. </w:t>
      </w:r>
    </w:p>
    <w:p w14:paraId="031B5909" w14:textId="7E7ACD4A" w:rsidR="001B0010" w:rsidRPr="00124D78" w:rsidRDefault="001B0010" w:rsidP="00124D78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4D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Significance of the Practice Problem at the National Level</w:t>
      </w:r>
    </w:p>
    <w:p w14:paraId="704F15B3" w14:textId="4279C92D" w:rsidR="001B0010" w:rsidRDefault="008F7325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Bipolar disorder is a </w:t>
      </w:r>
      <w:r w:rsidR="0036135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significant public health concern particularly in the United States </w:t>
      </w:r>
      <w:r w:rsidR="000B61E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w</w:t>
      </w:r>
      <w:r w:rsidR="0057558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here the annual prevalence is approximately 2.8% (</w:t>
      </w:r>
      <w:r w:rsidR="00AD15AD" w:rsidRPr="00942A70">
        <w:rPr>
          <w:rFonts w:ascii="Times New Roman" w:hAnsi="Times New Roman" w:cs="Times New Roman"/>
          <w:sz w:val="24"/>
          <w:szCs w:val="24"/>
        </w:rPr>
        <w:t>Dembek</w:t>
      </w:r>
      <w:r w:rsidR="00AD15AD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57558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0B61E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5108C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condition is associated with high mortality and morbidity </w:t>
      </w:r>
      <w:r w:rsidR="007A367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since people with bipolar disorder</w:t>
      </w:r>
      <w:r w:rsidR="002D198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565EE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have an estimated suicide risk of </w:t>
      </w:r>
      <w:r w:rsidR="002D198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ten to thirty times </w:t>
      </w:r>
      <w:r w:rsidR="00565EE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higher</w:t>
      </w:r>
      <w:r w:rsidR="007B3E7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compared to other individuals. </w:t>
      </w:r>
      <w:r w:rsidR="00D448E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Such an issue also contributes to </w:t>
      </w:r>
      <w:r w:rsidR="00587B0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an increased number of deaths related to mental health issues. </w:t>
      </w:r>
      <w:r w:rsidR="00182E3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On the other hand, </w:t>
      </w:r>
      <w:r w:rsidR="00D4373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economic burden </w:t>
      </w:r>
      <w:r w:rsidR="009D194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is </w:t>
      </w:r>
      <w:r w:rsidR="0095742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also significant </w:t>
      </w:r>
      <w:r w:rsidR="008E66E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due to indirect and direct costs </w:t>
      </w:r>
      <w:r w:rsidR="0050163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including lost productivity</w:t>
      </w:r>
      <w:r w:rsidR="009863F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, emergency care and hospitalizations which </w:t>
      </w:r>
      <w:r w:rsidR="00A7598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is approximately $ 4.6 billion </w:t>
      </w:r>
      <w:r w:rsidR="0047669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annually </w:t>
      </w:r>
      <w:r w:rsidR="004F7B0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 the United States </w:t>
      </w:r>
      <w:r w:rsidR="0047669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286E82" w:rsidRPr="00942A70">
        <w:rPr>
          <w:rFonts w:ascii="Times New Roman" w:hAnsi="Times New Roman" w:cs="Times New Roman"/>
          <w:sz w:val="24"/>
          <w:szCs w:val="24"/>
        </w:rPr>
        <w:t>Dembek</w:t>
      </w:r>
      <w:r w:rsidR="00286E82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47669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). </w:t>
      </w:r>
      <w:r w:rsidR="00F7460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Inadequate gaps in communication and provider confidence </w:t>
      </w:r>
      <w:r w:rsidR="00282E1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increase the challenges </w:t>
      </w:r>
      <w:r w:rsidR="00387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thereby highlighting the need for </w:t>
      </w:r>
      <w:r w:rsidR="00DF549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implementing interventions such as </w:t>
      </w:r>
      <w:r w:rsidR="0072608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teach-back method which will improve medication adherence </w:t>
      </w:r>
      <w:r w:rsidR="00FB165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and uphold positive health outcomes. </w:t>
      </w:r>
    </w:p>
    <w:p w14:paraId="3AB8C11A" w14:textId="0E1FC113" w:rsidR="00C366F3" w:rsidRPr="00B45EBA" w:rsidRDefault="00C366F3" w:rsidP="00B45EBA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B45E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Evidence Synthesis</w:t>
      </w:r>
    </w:p>
    <w:p w14:paraId="5A2EB2B0" w14:textId="75503ECC" w:rsidR="00F25CCF" w:rsidRDefault="007114BB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Medication non-adherence is a complex tendency that affects patients, their families and healthcare providers </w:t>
      </w:r>
      <w:r w:rsidR="009305A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due to negative outcomes such as relapse that can lead to </w:t>
      </w:r>
      <w:r w:rsidR="0067145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adverse effects. For this reason, the evidence-based intervention which is the teach-back method to improve conviction and confidence among nurses is crucial</w:t>
      </w:r>
      <w:r w:rsidR="00B45EB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and has been discussed by various sources. </w:t>
      </w:r>
      <w:r w:rsidR="000208A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One of the sources </w:t>
      </w:r>
      <w:r w:rsidR="009F19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mentions</w:t>
      </w:r>
      <w:r w:rsidR="000208A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that </w:t>
      </w:r>
      <w:r w:rsidR="0063345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successful interventions to </w:t>
      </w:r>
      <w:r w:rsidR="00DA072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combat non-adherence </w:t>
      </w:r>
      <w:r w:rsidR="00E90D0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involves a combination of educational and behavioral approaches</w:t>
      </w:r>
      <w:r w:rsidR="00C6779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which should be implemented into daily practice</w:t>
      </w:r>
      <w:r w:rsidR="009F19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</w:t>
      </w:r>
      <w:r w:rsidR="00163F8F" w:rsidRPr="004A0EB7">
        <w:rPr>
          <w:rFonts w:ascii="Times New Roman" w:hAnsi="Times New Roman" w:cs="Times New Roman"/>
          <w:sz w:val="24"/>
          <w:szCs w:val="24"/>
        </w:rPr>
        <w:t>Loots</w:t>
      </w:r>
      <w:r w:rsidR="00163F8F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4A5DEE">
        <w:rPr>
          <w:rFonts w:ascii="Times New Roman" w:hAnsi="Times New Roman" w:cs="Times New Roman"/>
          <w:sz w:val="24"/>
          <w:szCs w:val="24"/>
        </w:rPr>
        <w:t xml:space="preserve">; </w:t>
      </w:r>
      <w:r w:rsidR="004A5DEE" w:rsidRPr="00B83AFF">
        <w:rPr>
          <w:rFonts w:ascii="Times New Roman" w:hAnsi="Times New Roman" w:cs="Times New Roman"/>
          <w:sz w:val="24"/>
          <w:szCs w:val="24"/>
        </w:rPr>
        <w:t>Holcomb</w:t>
      </w:r>
      <w:r w:rsidR="004A5DE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al., 2022</w:t>
      </w:r>
      <w:r w:rsidR="009F19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). The main theme by </w:t>
      </w:r>
      <w:r w:rsidR="00051BB8" w:rsidRPr="004A0EB7">
        <w:rPr>
          <w:rFonts w:ascii="Times New Roman" w:hAnsi="Times New Roman" w:cs="Times New Roman"/>
          <w:sz w:val="24"/>
          <w:szCs w:val="24"/>
        </w:rPr>
        <w:t>Loots</w:t>
      </w:r>
      <w:r w:rsidR="00051BB8">
        <w:rPr>
          <w:rFonts w:ascii="Times New Roman" w:hAnsi="Times New Roman" w:cs="Times New Roman"/>
          <w:sz w:val="24"/>
          <w:szCs w:val="24"/>
        </w:rPr>
        <w:t xml:space="preserve"> et al.</w:t>
      </w:r>
      <w:r w:rsidR="00051BB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9F19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051BB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2021</w:t>
      </w:r>
      <w:r w:rsidR="009F19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 focuses on the behavioral and educational approaches for nurses to improve their confidence and conviction when handling patients with bipolar disorde</w:t>
      </w:r>
      <w:r w:rsidR="009B098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r</w:t>
      </w:r>
      <w:r w:rsidR="009F19C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</w:p>
    <w:p w14:paraId="7AE68DAB" w14:textId="32E4BBC6" w:rsidR="007114BB" w:rsidRDefault="00262D42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Similarly, </w:t>
      </w:r>
      <w:r w:rsidR="00461C50" w:rsidRPr="00EE2815">
        <w:rPr>
          <w:rFonts w:ascii="Times New Roman" w:hAnsi="Times New Roman" w:cs="Times New Roman"/>
          <w:sz w:val="24"/>
          <w:szCs w:val="24"/>
        </w:rPr>
        <w:t>Adebayo</w:t>
      </w:r>
      <w:r w:rsidR="00461C5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461C5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35514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also </w:t>
      </w:r>
      <w:r w:rsidR="000E054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supports the intervention by outlining the main theme of the study </w:t>
      </w:r>
      <w:r w:rsidR="006F785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which is to investigate the </w:t>
      </w:r>
      <w:r w:rsidR="00724E6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effectiveness of the teach-back</w:t>
      </w:r>
      <w:r w:rsidR="00F8685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724E6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method </w:t>
      </w:r>
      <w:r w:rsidR="00F6279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to improve medication adherence among patients with bipolar disorder</w:t>
      </w:r>
      <w:r w:rsidR="00E97D8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6E45A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However, patients may find it challenging to recall their medication regimen where nurses should play the role of reminding them to follow-up with their treatment plans (</w:t>
      </w:r>
      <w:r w:rsidR="0034355D" w:rsidRPr="00114086">
        <w:rPr>
          <w:rFonts w:ascii="Times New Roman" w:hAnsi="Times New Roman" w:cs="Times New Roman"/>
          <w:sz w:val="24"/>
          <w:szCs w:val="24"/>
        </w:rPr>
        <w:t>Talevski</w:t>
      </w:r>
      <w:r w:rsidR="0034355D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424F4F">
        <w:rPr>
          <w:rFonts w:ascii="Times New Roman" w:hAnsi="Times New Roman" w:cs="Times New Roman"/>
          <w:sz w:val="24"/>
          <w:szCs w:val="24"/>
        </w:rPr>
        <w:t xml:space="preserve">; </w:t>
      </w:r>
      <w:r w:rsidR="00424F4F" w:rsidRPr="00A66DF6">
        <w:rPr>
          <w:rFonts w:ascii="Times New Roman" w:hAnsi="Times New Roman" w:cs="Times New Roman"/>
          <w:sz w:val="24"/>
          <w:szCs w:val="24"/>
        </w:rPr>
        <w:t>Lin</w:t>
      </w:r>
      <w:r w:rsidR="00424F4F">
        <w:rPr>
          <w:rFonts w:ascii="Times New Roman" w:hAnsi="Times New Roman" w:cs="Times New Roman"/>
          <w:sz w:val="24"/>
          <w:szCs w:val="24"/>
        </w:rPr>
        <w:t xml:space="preserve"> et al., </w:t>
      </w:r>
      <w:r w:rsidR="00453265">
        <w:rPr>
          <w:rFonts w:ascii="Times New Roman" w:hAnsi="Times New Roman" w:cs="Times New Roman"/>
          <w:sz w:val="24"/>
          <w:szCs w:val="24"/>
        </w:rPr>
        <w:t>2022</w:t>
      </w:r>
      <w:r w:rsidR="006E45A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).</w:t>
      </w:r>
      <w:r w:rsidR="000F2E9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The main theme that emerges from the article by </w:t>
      </w:r>
      <w:r w:rsidR="0034355D" w:rsidRPr="00114086">
        <w:rPr>
          <w:rFonts w:ascii="Times New Roman" w:hAnsi="Times New Roman" w:cs="Times New Roman"/>
          <w:sz w:val="24"/>
          <w:szCs w:val="24"/>
        </w:rPr>
        <w:t>Talevski</w:t>
      </w:r>
      <w:r w:rsidR="0034355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 </w:t>
      </w:r>
      <w:r w:rsidR="000F2E9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34355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2020</w:t>
      </w:r>
      <w:r w:rsidR="000F2E9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 is that patients should participate in their care by being involved in the decision-making process </w:t>
      </w:r>
      <w:r w:rsidR="004D5FE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through the teach-back method that improves nurses’ confidence hence promoting medication adherence. </w:t>
      </w:r>
      <w:r w:rsidR="003A0F6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Con</w:t>
      </w:r>
      <w:r w:rsidR="001B47F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trary</w:t>
      </w:r>
      <w:r w:rsidR="003A0F6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, </w:t>
      </w:r>
      <w:r w:rsidR="007D7C3E" w:rsidRPr="0015332E">
        <w:rPr>
          <w:rFonts w:ascii="Times New Roman" w:hAnsi="Times New Roman" w:cs="Times New Roman"/>
          <w:sz w:val="24"/>
          <w:szCs w:val="24"/>
        </w:rPr>
        <w:t>Berardinelli</w:t>
      </w:r>
      <w:r w:rsidR="007D7C3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 </w:t>
      </w:r>
      <w:r w:rsidR="00722CD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7D7C3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2024</w:t>
      </w:r>
      <w:r w:rsidR="00722CD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 proposes that a solution to medication non-adherence </w:t>
      </w:r>
      <w:r w:rsidR="000D06C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involves expanding the role of nurses</w:t>
      </w:r>
      <w:r w:rsidR="00F25CC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by allocating time for </w:t>
      </w:r>
      <w:r w:rsidR="00E71D75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management and education among nurses </w:t>
      </w:r>
      <w:r w:rsidR="00B5774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to promote adherence in a feasible and sustainable manner </w:t>
      </w:r>
      <w:r w:rsidR="00A30C1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within the clinical settings. </w:t>
      </w:r>
      <w:r w:rsidR="00B84E9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Therefore, </w:t>
      </w:r>
      <w:r w:rsidR="005C133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some themes in the sources are similar while other</w:t>
      </w:r>
      <w:r w:rsidR="00F2291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</w:t>
      </w:r>
      <w:r w:rsidR="005C133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contrast regarding the perspective </w:t>
      </w:r>
      <w:r w:rsidR="00F2291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and impact </w:t>
      </w:r>
      <w:r w:rsidR="005C133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of the </w:t>
      </w:r>
      <w:r w:rsidR="00F2291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teach-back method on patients and healthcare providers. </w:t>
      </w:r>
    </w:p>
    <w:p w14:paraId="4D4BA147" w14:textId="2A2BE96D" w:rsidR="00503DB7" w:rsidRPr="00DB2F56" w:rsidRDefault="00503DB7" w:rsidP="00DB2F56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DB2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Objective Overarching Synthesis of Research Statement </w:t>
      </w:r>
    </w:p>
    <w:p w14:paraId="49182083" w14:textId="44058922" w:rsidR="002833F9" w:rsidRDefault="00E24325" w:rsidP="000A21A2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Research has highlighted the effectiveness and impact of the teach-back method in improving medication adherence as well as </w:t>
      </w:r>
      <w:r w:rsidR="000163B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enhancing provider confidence and conviction </w:t>
      </w:r>
      <w:r w:rsidR="005F660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when handling patients with bipolar disorder. </w:t>
      </w:r>
      <w:r w:rsidR="0080554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Studies have emphasized that successful evidence-based interventions require </w:t>
      </w:r>
      <w:r w:rsidR="0085218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 mixture of behavioral and educational approaches </w:t>
      </w:r>
      <w:r w:rsidR="00762C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as mentioned by </w:t>
      </w:r>
      <w:r w:rsidR="00684D68" w:rsidRPr="004A0EB7">
        <w:rPr>
          <w:rFonts w:ascii="Times New Roman" w:hAnsi="Times New Roman" w:cs="Times New Roman"/>
          <w:sz w:val="24"/>
          <w:szCs w:val="24"/>
        </w:rPr>
        <w:t>Loots</w:t>
      </w:r>
      <w:r w:rsidR="00684D68">
        <w:rPr>
          <w:rFonts w:ascii="Times New Roman" w:hAnsi="Times New Roman" w:cs="Times New Roman"/>
          <w:sz w:val="24"/>
          <w:szCs w:val="24"/>
        </w:rPr>
        <w:t xml:space="preserve"> </w:t>
      </w:r>
      <w:r w:rsidR="00684D68">
        <w:rPr>
          <w:rFonts w:ascii="Times New Roman" w:hAnsi="Times New Roman" w:cs="Times New Roman"/>
          <w:sz w:val="24"/>
          <w:szCs w:val="24"/>
        </w:rPr>
        <w:lastRenderedPageBreak/>
        <w:t>et al.</w:t>
      </w:r>
      <w:r w:rsidR="00684D6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762C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684D68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2021</w:t>
      </w:r>
      <w:r w:rsidR="00762CE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 who </w:t>
      </w:r>
      <w:r w:rsidR="00F74C0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stress on the essence of integrating such interventions into nursing practice</w:t>
      </w:r>
      <w:r w:rsidR="00DB6D8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94639C" w:rsidRPr="00EE2815">
        <w:rPr>
          <w:rFonts w:ascii="Times New Roman" w:hAnsi="Times New Roman" w:cs="Times New Roman"/>
          <w:sz w:val="24"/>
          <w:szCs w:val="24"/>
        </w:rPr>
        <w:t>Adebayo</w:t>
      </w:r>
      <w:r w:rsidR="0094639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5E0BF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94639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2024</w:t>
      </w:r>
      <w:r w:rsidR="005E0BF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 also reinforces the role of the teach-back method in promoting </w:t>
      </w:r>
      <w:r w:rsidR="00052AD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medication adherence while </w:t>
      </w:r>
      <w:r w:rsidR="00880E00" w:rsidRPr="00114086">
        <w:rPr>
          <w:rFonts w:ascii="Times New Roman" w:hAnsi="Times New Roman" w:cs="Times New Roman"/>
          <w:sz w:val="24"/>
          <w:szCs w:val="24"/>
        </w:rPr>
        <w:t>Talevski</w:t>
      </w:r>
      <w:r w:rsidR="00880E00">
        <w:rPr>
          <w:rFonts w:ascii="Times New Roman" w:hAnsi="Times New Roman" w:cs="Times New Roman"/>
          <w:sz w:val="24"/>
          <w:szCs w:val="24"/>
        </w:rPr>
        <w:t xml:space="preserve"> et al</w:t>
      </w:r>
      <w:r w:rsidR="00880E0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052AD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880E0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2020</w:t>
      </w:r>
      <w:r w:rsidR="00052AD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D04D6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and </w:t>
      </w:r>
      <w:r w:rsidR="001E3601" w:rsidRPr="00A66DF6">
        <w:rPr>
          <w:rFonts w:ascii="Times New Roman" w:hAnsi="Times New Roman" w:cs="Times New Roman"/>
          <w:sz w:val="24"/>
          <w:szCs w:val="24"/>
        </w:rPr>
        <w:t>Lin</w:t>
      </w:r>
      <w:r w:rsidR="001E3601">
        <w:rPr>
          <w:rFonts w:ascii="Times New Roman" w:hAnsi="Times New Roman" w:cs="Times New Roman"/>
          <w:sz w:val="24"/>
          <w:szCs w:val="24"/>
        </w:rPr>
        <w:t xml:space="preserve"> et al.</w:t>
      </w:r>
      <w:r w:rsidR="001E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D04D6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1E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2022</w:t>
      </w:r>
      <w:r w:rsidR="00D04D6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)</w:t>
      </w:r>
      <w:r w:rsidR="00C00CC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advocate for the involvement of patients in the decision-making process </w:t>
      </w:r>
      <w:r w:rsidR="0028379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as a way of engaging patients in their care. </w:t>
      </w:r>
      <w:r w:rsidR="004F5DC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Despite most sources supporting the effectiveness of the intervention, </w:t>
      </w:r>
      <w:r w:rsidR="0083177A" w:rsidRPr="0015332E">
        <w:rPr>
          <w:rFonts w:ascii="Times New Roman" w:hAnsi="Times New Roman" w:cs="Times New Roman"/>
          <w:sz w:val="24"/>
          <w:szCs w:val="24"/>
        </w:rPr>
        <w:t>Berardinelli</w:t>
      </w:r>
      <w:r w:rsidR="0083177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et al. </w:t>
      </w:r>
      <w:r w:rsidR="004F5DC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(</w:t>
      </w:r>
      <w:r w:rsidR="0083177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2024</w:t>
      </w:r>
      <w:r w:rsidR="004F5DC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) poses a contrasting perspective by suggesting that expanding the role of nurses </w:t>
      </w:r>
      <w:r w:rsidR="00202B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in patient education and management could </w:t>
      </w:r>
      <w:r w:rsidR="00453DD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be a more sustainable solution. </w:t>
      </w:r>
      <w:r w:rsidR="007E5C4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findings therefore collectively underscore </w:t>
      </w:r>
      <w:r w:rsidR="0038040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the potential of the teach-back method </w:t>
      </w:r>
      <w:r w:rsidR="004369B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to improve provider confidence and patient outcome </w:t>
      </w:r>
      <w:r w:rsidR="0095037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despite their variations in implementing the approaches. </w:t>
      </w:r>
    </w:p>
    <w:p w14:paraId="730426F1" w14:textId="1D55E0D4" w:rsidR="00B8761E" w:rsidRPr="00B560B1" w:rsidRDefault="00B8761E" w:rsidP="00B560B1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B5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Conclusion</w:t>
      </w:r>
    </w:p>
    <w:p w14:paraId="42398FD2" w14:textId="56E72017" w:rsidR="001B7EA5" w:rsidRPr="00097518" w:rsidRDefault="001B7EA5" w:rsidP="001B7EA5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0975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Summary of the Practice Problem</w:t>
      </w:r>
    </w:p>
    <w:p w14:paraId="4205E40E" w14:textId="3CBF4D45" w:rsidR="00B560B1" w:rsidRDefault="00C47E5D" w:rsidP="00097518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Bipolar disorder is a significant healthcare challenge that </w:t>
      </w:r>
      <w:r w:rsidR="00B8091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is associated with economic burden and high mortality and morbidity rates</w:t>
      </w:r>
      <w:r w:rsidR="00D03C9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</w:t>
      </w:r>
      <w:r w:rsidR="00161F5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One of the major contributing factors to negative patient outcomes is </w:t>
      </w:r>
      <w:r w:rsidR="0095366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non-adherence to</w:t>
      </w:r>
      <w:r w:rsidR="00D1535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95366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medication </w:t>
      </w:r>
      <w:r w:rsidR="00321C0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which could result in decreased </w:t>
      </w:r>
      <w:r w:rsidR="00BB0F83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q</w:t>
      </w:r>
      <w:r w:rsidR="00321C0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uality of life, hospitalizations and relapse. </w:t>
      </w:r>
      <w:r w:rsidR="00653D2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Healthcare providers especially nurses face challenges associated with ensuring that </w:t>
      </w:r>
      <w:r w:rsidR="00F50DE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patients understand and follow through with the treatment plans</w:t>
      </w:r>
      <w:r w:rsidR="00960B3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, an issue that emphasizes on the need for interventions </w:t>
      </w:r>
      <w:r w:rsidR="008E7A9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that facilitate provider confidence and enhance </w:t>
      </w:r>
      <w:r w:rsidR="004625DF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patient education. </w:t>
      </w:r>
    </w:p>
    <w:p w14:paraId="1B675D1C" w14:textId="3F661FDB" w:rsidR="00D24BC9" w:rsidRPr="00F27FED" w:rsidRDefault="00D24BC9" w:rsidP="00D24BC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F27F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Summary of the Evidence Synthesis</w:t>
      </w:r>
    </w:p>
    <w:p w14:paraId="0F1DF11E" w14:textId="27456363" w:rsidR="00D24BC9" w:rsidRDefault="00F974EF" w:rsidP="00F27FE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The teach-</w:t>
      </w:r>
      <w:r w:rsidR="00C67CA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back method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has proven to be a suitable evidence-based intervention </w:t>
      </w:r>
      <w:r w:rsidR="008837E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that addresses the mentioned challenges by </w:t>
      </w:r>
      <w:r w:rsidR="00A128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enhancing communication between patients and nurses </w:t>
      </w:r>
      <w:r w:rsidR="0017497B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hence promoting medication adherence. </w:t>
      </w:r>
      <w:r w:rsidR="00A33A8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Loots et al. (2021) argues that combining </w:t>
      </w:r>
      <w:r w:rsidR="003E4062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behavioral and educational approaches is important to improve provider confidence </w:t>
      </w:r>
      <w:r w:rsidR="000751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when managing bipolar </w:t>
      </w:r>
      <w:r w:rsidR="000751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disorder. Adebayo (2024) </w:t>
      </w:r>
      <w:r w:rsidR="00DB06AA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also supports the intervention by demonstrating its </w:t>
      </w:r>
      <w:r w:rsidR="00687CF0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effectiveness in adhering to medication. </w:t>
      </w:r>
      <w:r w:rsidR="003447A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Additionally, </w:t>
      </w:r>
      <w:r w:rsidR="00520B69" w:rsidRPr="00114086">
        <w:rPr>
          <w:rFonts w:ascii="Times New Roman" w:hAnsi="Times New Roman" w:cs="Times New Roman"/>
          <w:sz w:val="24"/>
          <w:szCs w:val="24"/>
        </w:rPr>
        <w:t>Talevski</w:t>
      </w:r>
      <w:r w:rsidR="00520B69">
        <w:rPr>
          <w:rFonts w:ascii="Times New Roman" w:hAnsi="Times New Roman" w:cs="Times New Roman"/>
          <w:sz w:val="24"/>
          <w:szCs w:val="24"/>
        </w:rPr>
        <w:t xml:space="preserve"> et al</w:t>
      </w:r>
      <w:r w:rsidR="00520B6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. (2020) and </w:t>
      </w:r>
      <w:r w:rsidR="00520B69" w:rsidRPr="00A66DF6">
        <w:rPr>
          <w:rFonts w:ascii="Times New Roman" w:hAnsi="Times New Roman" w:cs="Times New Roman"/>
          <w:sz w:val="24"/>
          <w:szCs w:val="24"/>
        </w:rPr>
        <w:t>Lin</w:t>
      </w:r>
      <w:r w:rsidR="00520B69">
        <w:rPr>
          <w:rFonts w:ascii="Times New Roman" w:hAnsi="Times New Roman" w:cs="Times New Roman"/>
          <w:sz w:val="24"/>
          <w:szCs w:val="24"/>
        </w:rPr>
        <w:t xml:space="preserve"> et al.</w:t>
      </w:r>
      <w:r w:rsidR="00520B6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(2022)</w:t>
      </w:r>
      <w:r w:rsidR="004D3C76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highlight the essence of shared decision-making and patient engagement </w:t>
      </w:r>
      <w:r w:rsidR="007C10F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where the teach-back</w:t>
      </w:r>
      <w:r w:rsidR="00DD225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7C10FE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method plays a crucial role in </w:t>
      </w:r>
      <w:r w:rsidR="000E6674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improving adherence. </w:t>
      </w:r>
      <w:r w:rsidR="00A1463C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While </w:t>
      </w:r>
      <w:r w:rsidR="00A1463C" w:rsidRPr="0015332E">
        <w:rPr>
          <w:rFonts w:ascii="Times New Roman" w:hAnsi="Times New Roman" w:cs="Times New Roman"/>
          <w:sz w:val="24"/>
          <w:szCs w:val="24"/>
        </w:rPr>
        <w:t>Berardinelli</w:t>
      </w:r>
      <w:r w:rsidR="00A1463C">
        <w:rPr>
          <w:rFonts w:ascii="Times New Roman" w:hAnsi="Times New Roman" w:cs="Times New Roman"/>
          <w:sz w:val="24"/>
          <w:szCs w:val="24"/>
        </w:rPr>
        <w:t xml:space="preserve"> et al. (2024) </w:t>
      </w:r>
      <w:r w:rsidR="002D6DB3">
        <w:rPr>
          <w:rFonts w:ascii="Times New Roman" w:hAnsi="Times New Roman" w:cs="Times New Roman"/>
          <w:sz w:val="24"/>
          <w:szCs w:val="24"/>
        </w:rPr>
        <w:t xml:space="preserve">suggests expanding the role of nurses </w:t>
      </w:r>
      <w:r w:rsidR="00665397">
        <w:rPr>
          <w:rFonts w:ascii="Times New Roman" w:hAnsi="Times New Roman" w:cs="Times New Roman"/>
          <w:sz w:val="24"/>
          <w:szCs w:val="24"/>
        </w:rPr>
        <w:t>in patient education</w:t>
      </w:r>
      <w:r w:rsidR="00D32C9A">
        <w:rPr>
          <w:rFonts w:ascii="Times New Roman" w:hAnsi="Times New Roman" w:cs="Times New Roman"/>
          <w:sz w:val="24"/>
          <w:szCs w:val="24"/>
        </w:rPr>
        <w:t xml:space="preserve">, the overarching evidence underscores that </w:t>
      </w:r>
      <w:r w:rsidR="00E77A4A">
        <w:rPr>
          <w:rFonts w:ascii="Times New Roman" w:hAnsi="Times New Roman" w:cs="Times New Roman"/>
          <w:sz w:val="24"/>
          <w:szCs w:val="24"/>
        </w:rPr>
        <w:t xml:space="preserve">implementing the teach-back method in nursing practice </w:t>
      </w:r>
      <w:r w:rsidR="006E595E">
        <w:rPr>
          <w:rFonts w:ascii="Times New Roman" w:hAnsi="Times New Roman" w:cs="Times New Roman"/>
          <w:sz w:val="24"/>
          <w:szCs w:val="24"/>
        </w:rPr>
        <w:t xml:space="preserve">will enhance provider conviction </w:t>
      </w:r>
      <w:r w:rsidR="008E7BBA">
        <w:rPr>
          <w:rFonts w:ascii="Times New Roman" w:hAnsi="Times New Roman" w:cs="Times New Roman"/>
          <w:sz w:val="24"/>
          <w:szCs w:val="24"/>
        </w:rPr>
        <w:t>and result</w:t>
      </w:r>
      <w:r w:rsidR="004B41D1">
        <w:rPr>
          <w:rFonts w:ascii="Times New Roman" w:hAnsi="Times New Roman" w:cs="Times New Roman"/>
          <w:sz w:val="24"/>
          <w:szCs w:val="24"/>
        </w:rPr>
        <w:t xml:space="preserve"> </w:t>
      </w:r>
      <w:r w:rsidR="008E7BBA">
        <w:rPr>
          <w:rFonts w:ascii="Times New Roman" w:hAnsi="Times New Roman" w:cs="Times New Roman"/>
          <w:sz w:val="24"/>
          <w:szCs w:val="24"/>
        </w:rPr>
        <w:t>in better patient outcomes.</w:t>
      </w:r>
      <w:r w:rsidR="00BC3480">
        <w:rPr>
          <w:rFonts w:ascii="Times New Roman" w:hAnsi="Times New Roman" w:cs="Times New Roman"/>
          <w:sz w:val="24"/>
          <w:szCs w:val="24"/>
        </w:rPr>
        <w:t xml:space="preserve"> Ultimately, implementing the intervention will </w:t>
      </w:r>
      <w:r w:rsidR="003658F2">
        <w:rPr>
          <w:rFonts w:ascii="Times New Roman" w:hAnsi="Times New Roman" w:cs="Times New Roman"/>
          <w:sz w:val="24"/>
          <w:szCs w:val="24"/>
        </w:rPr>
        <w:t xml:space="preserve">allow healthcare systems to bridge gaps </w:t>
      </w:r>
      <w:r w:rsidR="008C035D">
        <w:rPr>
          <w:rFonts w:ascii="Times New Roman" w:hAnsi="Times New Roman" w:cs="Times New Roman"/>
          <w:sz w:val="24"/>
          <w:szCs w:val="24"/>
        </w:rPr>
        <w:t xml:space="preserve">in adherence to medication </w:t>
      </w:r>
      <w:r w:rsidR="00487AF9">
        <w:rPr>
          <w:rFonts w:ascii="Times New Roman" w:hAnsi="Times New Roman" w:cs="Times New Roman"/>
          <w:sz w:val="24"/>
          <w:szCs w:val="24"/>
        </w:rPr>
        <w:t xml:space="preserve">thereby empowering providers and patients in </w:t>
      </w:r>
      <w:r w:rsidR="00E06979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487AF9">
        <w:rPr>
          <w:rFonts w:ascii="Times New Roman" w:hAnsi="Times New Roman" w:cs="Times New Roman"/>
          <w:sz w:val="24"/>
          <w:szCs w:val="24"/>
        </w:rPr>
        <w:t xml:space="preserve">managing bipolar disorders. </w:t>
      </w:r>
    </w:p>
    <w:p w14:paraId="2EC1EF19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02846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0EA7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E947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42D09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3F33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76928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98976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99030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EB863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CA2A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7E22A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F5ADE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BC3F0" w14:textId="77777777" w:rsidR="00C768E0" w:rsidRDefault="00C768E0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D7801" w14:textId="65CDCC84" w:rsidR="000E583C" w:rsidRPr="0055514B" w:rsidRDefault="000E583C" w:rsidP="0055514B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14B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34"/>
        <w:gridCol w:w="1184"/>
        <w:gridCol w:w="679"/>
        <w:gridCol w:w="931"/>
        <w:gridCol w:w="1101"/>
        <w:gridCol w:w="1227"/>
        <w:gridCol w:w="1017"/>
        <w:gridCol w:w="804"/>
        <w:gridCol w:w="548"/>
        <w:gridCol w:w="546"/>
      </w:tblGrid>
      <w:tr w:rsidR="0098054F" w:rsidRPr="00D05E46" w14:paraId="28C34682" w14:textId="77777777" w:rsidTr="00CB16B0">
        <w:trPr>
          <w:trHeight w:val="594"/>
        </w:trPr>
        <w:tc>
          <w:tcPr>
            <w:tcW w:w="363" w:type="pct"/>
          </w:tcPr>
          <w:p w14:paraId="1DAF4BF3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</w:rPr>
            </w:pPr>
          </w:p>
        </w:tc>
        <w:tc>
          <w:tcPr>
            <w:tcW w:w="4345" w:type="pct"/>
            <w:gridSpan w:val="9"/>
          </w:tcPr>
          <w:p w14:paraId="690163CB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</w:rPr>
            </w:pPr>
          </w:p>
          <w:p w14:paraId="755E5DA0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kern w:val="0"/>
              </w:rPr>
            </w:pPr>
            <w:r w:rsidRPr="00D05E46">
              <w:rPr>
                <w:rFonts w:eastAsia="Times New Roman" w:cs="Times New Roman"/>
                <w:b/>
                <w:kern w:val="0"/>
              </w:rPr>
              <w:t xml:space="preserve">EBP Project Practice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</w:rPr>
              <w:t>Question:</w:t>
            </w:r>
          </w:p>
        </w:tc>
        <w:tc>
          <w:tcPr>
            <w:tcW w:w="292" w:type="pct"/>
          </w:tcPr>
          <w:p w14:paraId="403ABF22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</w:rPr>
            </w:pPr>
          </w:p>
        </w:tc>
      </w:tr>
      <w:tr w:rsidR="0098054F" w:rsidRPr="00D05E46" w14:paraId="21DFF87D" w14:textId="77777777" w:rsidTr="00CB16B0">
        <w:trPr>
          <w:trHeight w:val="809"/>
        </w:trPr>
        <w:tc>
          <w:tcPr>
            <w:tcW w:w="363" w:type="pct"/>
            <w:vAlign w:val="center"/>
          </w:tcPr>
          <w:p w14:paraId="6674A3D2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33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>Reviewer Name(s)</w:t>
            </w:r>
          </w:p>
        </w:tc>
        <w:tc>
          <w:tcPr>
            <w:tcW w:w="339" w:type="pct"/>
            <w:vAlign w:val="center"/>
          </w:tcPr>
          <w:p w14:paraId="23BD8AC7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>Article Number</w:t>
            </w:r>
          </w:p>
        </w:tc>
        <w:tc>
          <w:tcPr>
            <w:tcW w:w="633" w:type="pct"/>
          </w:tcPr>
          <w:p w14:paraId="3981C5D1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>Author, Date, and Title</w:t>
            </w:r>
          </w:p>
        </w:tc>
        <w:tc>
          <w:tcPr>
            <w:tcW w:w="363" w:type="pct"/>
            <w:vAlign w:val="center"/>
          </w:tcPr>
          <w:p w14:paraId="428EAE61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>Type of Evidence</w:t>
            </w:r>
          </w:p>
        </w:tc>
        <w:tc>
          <w:tcPr>
            <w:tcW w:w="498" w:type="pct"/>
            <w:vAlign w:val="center"/>
          </w:tcPr>
          <w:p w14:paraId="76C495B4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 xml:space="preserve">Population,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 xml:space="preserve">size, and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>setting</w:t>
            </w:r>
          </w:p>
        </w:tc>
        <w:tc>
          <w:tcPr>
            <w:tcW w:w="589" w:type="pct"/>
            <w:vAlign w:val="center"/>
          </w:tcPr>
          <w:p w14:paraId="6EB00BC1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93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>Intervention</w:t>
            </w:r>
          </w:p>
        </w:tc>
        <w:tc>
          <w:tcPr>
            <w:tcW w:w="656" w:type="pct"/>
            <w:vAlign w:val="center"/>
          </w:tcPr>
          <w:p w14:paraId="72BFE492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11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 xml:space="preserve">Findings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>that help answer</w:t>
            </w:r>
            <w:r w:rsidRPr="00D05E46">
              <w:rPr>
                <w:rFonts w:eastAsia="Times New Roman" w:cs="Times New Roman"/>
                <w:b/>
                <w:spacing w:val="-14"/>
                <w:kern w:val="0"/>
                <w:sz w:val="20"/>
                <w:szCs w:val="20"/>
              </w:rPr>
              <w:t xml:space="preserve">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 xml:space="preserve">the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</w:rPr>
              <w:t xml:space="preserve">EBP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>question</w:t>
            </w:r>
          </w:p>
        </w:tc>
        <w:tc>
          <w:tcPr>
            <w:tcW w:w="544" w:type="pct"/>
            <w:vAlign w:val="center"/>
          </w:tcPr>
          <w:p w14:paraId="46B09FD0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ind w:right="215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 xml:space="preserve">Measures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</w:rPr>
              <w:t>used</w:t>
            </w:r>
          </w:p>
        </w:tc>
        <w:tc>
          <w:tcPr>
            <w:tcW w:w="430" w:type="pct"/>
            <w:vAlign w:val="center"/>
          </w:tcPr>
          <w:p w14:paraId="00EFC243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>Limitations</w:t>
            </w:r>
          </w:p>
        </w:tc>
        <w:tc>
          <w:tcPr>
            <w:tcW w:w="293" w:type="pct"/>
            <w:vAlign w:val="center"/>
          </w:tcPr>
          <w:p w14:paraId="08FC33B3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 xml:space="preserve">Evidence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</w:rPr>
              <w:t xml:space="preserve">level &amp;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>quality</w:t>
            </w:r>
          </w:p>
        </w:tc>
        <w:tc>
          <w:tcPr>
            <w:tcW w:w="292" w:type="pct"/>
          </w:tcPr>
          <w:p w14:paraId="4E5805B6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</w:rPr>
              <w:t>Notes to Team</w:t>
            </w:r>
          </w:p>
        </w:tc>
      </w:tr>
      <w:tr w:rsidR="0098054F" w:rsidRPr="00D05E46" w14:paraId="3849F803" w14:textId="77777777" w:rsidTr="00CB16B0">
        <w:trPr>
          <w:trHeight w:val="662"/>
        </w:trPr>
        <w:tc>
          <w:tcPr>
            <w:tcW w:w="363" w:type="pct"/>
          </w:tcPr>
          <w:p w14:paraId="1F6CF787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bookmarkStart w:id="0" w:name="_Hlk140067709"/>
            <w:bookmarkStart w:id="1" w:name="_Hlk140067720"/>
          </w:p>
        </w:tc>
        <w:tc>
          <w:tcPr>
            <w:tcW w:w="339" w:type="pct"/>
          </w:tcPr>
          <w:p w14:paraId="3260B7D5" w14:textId="1CADC128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 w:rsidRPr="0098054F">
              <w:rPr>
                <w:rFonts w:eastAsia="Times New Roman" w:cs="Times New Roman"/>
                <w:kern w:val="0"/>
              </w:rPr>
              <w:t>918686</w:t>
            </w:r>
          </w:p>
        </w:tc>
        <w:tc>
          <w:tcPr>
            <w:tcW w:w="633" w:type="pct"/>
          </w:tcPr>
          <w:p w14:paraId="5A25EE1F" w14:textId="77777777" w:rsidR="0033088C" w:rsidRDefault="0033088C" w:rsidP="003308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AFF">
              <w:rPr>
                <w:rFonts w:ascii="Times New Roman" w:hAnsi="Times New Roman" w:cs="Times New Roman"/>
                <w:sz w:val="24"/>
                <w:szCs w:val="24"/>
              </w:rPr>
              <w:t xml:space="preserve">Holcomb, J., Ferguson, G. M., Thornton, L., &amp; Highfield, L. (2022). Development, </w:t>
            </w:r>
          </w:p>
          <w:p w14:paraId="43792C4A" w14:textId="7C2CFF96" w:rsidR="0098054F" w:rsidRPr="00D05E46" w:rsidRDefault="0033088C" w:rsidP="0033088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 w:rsidRPr="00B83AFF">
              <w:rPr>
                <w:rFonts w:ascii="Times New Roman" w:hAnsi="Times New Roman" w:cs="Times New Roman"/>
                <w:sz w:val="24"/>
                <w:szCs w:val="24"/>
              </w:rPr>
              <w:t>implementation, and evaluation of Teach Back curriculum for community health workers. </w:t>
            </w:r>
            <w:r w:rsidRPr="00B83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Frontiers in Medicine</w:t>
            </w:r>
            <w:r w:rsidRPr="00B83AF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B83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B83AFF">
              <w:rPr>
                <w:rFonts w:ascii="Times New Roman" w:hAnsi="Times New Roman" w:cs="Times New Roman"/>
                <w:sz w:val="24"/>
                <w:szCs w:val="24"/>
              </w:rPr>
              <w:t>, 918686.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https://doi.org/10.3389/fmed.2022.</w:t>
              </w:r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918686</w:t>
              </w:r>
            </w:hyperlink>
          </w:p>
        </w:tc>
        <w:tc>
          <w:tcPr>
            <w:tcW w:w="363" w:type="pct"/>
          </w:tcPr>
          <w:p w14:paraId="1AA4D86B" w14:textId="377FFC71" w:rsidR="0098054F" w:rsidRPr="00D05E46" w:rsidRDefault="00937BE5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Mixed research method and a program evaluation to assess the impact of a training intervention.</w:t>
            </w:r>
          </w:p>
        </w:tc>
        <w:tc>
          <w:tcPr>
            <w:tcW w:w="498" w:type="pct"/>
          </w:tcPr>
          <w:p w14:paraId="410F49ED" w14:textId="1262A899" w:rsidR="0098054F" w:rsidRPr="00D05E46" w:rsidRDefault="00E268C4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T</w:t>
            </w:r>
            <w:r w:rsidR="008E3387">
              <w:rPr>
                <w:rFonts w:eastAsia="Times New Roman" w:cs="Times New Roman"/>
                <w:kern w:val="0"/>
              </w:rPr>
              <w:t xml:space="preserve">he setting was in a large </w:t>
            </w:r>
            <w:r w:rsidR="00E253E8">
              <w:rPr>
                <w:rFonts w:eastAsia="Times New Roman" w:cs="Times New Roman"/>
                <w:kern w:val="0"/>
              </w:rPr>
              <w:t>academic</w:t>
            </w:r>
            <w:r w:rsidR="00601D62">
              <w:rPr>
                <w:rFonts w:eastAsia="Times New Roman" w:cs="Times New Roman"/>
                <w:kern w:val="0"/>
              </w:rPr>
              <w:t xml:space="preserve"> health</w:t>
            </w:r>
            <w:r w:rsidR="00E253E8">
              <w:rPr>
                <w:rFonts w:eastAsia="Times New Roman" w:cs="Times New Roman"/>
                <w:kern w:val="0"/>
              </w:rPr>
              <w:t xml:space="preserve"> university</w:t>
            </w:r>
            <w:r w:rsidR="00601D62">
              <w:rPr>
                <w:rFonts w:eastAsia="Times New Roman" w:cs="Times New Roman"/>
                <w:kern w:val="0"/>
              </w:rPr>
              <w:t xml:space="preserve"> </w:t>
            </w:r>
            <w:r w:rsidR="0002509A">
              <w:rPr>
                <w:rFonts w:eastAsia="Times New Roman" w:cs="Times New Roman"/>
                <w:kern w:val="0"/>
              </w:rPr>
              <w:t xml:space="preserve">where a multidisciplinary team a three-week pilot teach back training. </w:t>
            </w:r>
          </w:p>
        </w:tc>
        <w:tc>
          <w:tcPr>
            <w:tcW w:w="589" w:type="pct"/>
          </w:tcPr>
          <w:p w14:paraId="0293E6C3" w14:textId="517F20AD" w:rsidR="0098054F" w:rsidRPr="00D05E46" w:rsidRDefault="00D71709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study looked at the impact </w:t>
            </w:r>
            <w:r w:rsidR="00516FD9">
              <w:rPr>
                <w:rFonts w:eastAsia="Times New Roman" w:cs="Times New Roman"/>
                <w:kern w:val="0"/>
              </w:rPr>
              <w:t>of the teach-</w:t>
            </w:r>
            <w:r w:rsidR="00705685">
              <w:rPr>
                <w:rFonts w:eastAsia="Times New Roman" w:cs="Times New Roman"/>
                <w:kern w:val="0"/>
              </w:rPr>
              <w:t>back method</w:t>
            </w:r>
            <w:r w:rsidR="00516FD9">
              <w:rPr>
                <w:rFonts w:eastAsia="Times New Roman" w:cs="Times New Roman"/>
                <w:kern w:val="0"/>
              </w:rPr>
              <w:t xml:space="preserve"> in improving confidence and enhancing medication adherence</w:t>
            </w:r>
            <w:r w:rsidR="00705685">
              <w:rPr>
                <w:rFonts w:eastAsia="Times New Roman" w:cs="Times New Roman"/>
                <w:kern w:val="0"/>
              </w:rPr>
              <w:t xml:space="preserve">. </w:t>
            </w:r>
          </w:p>
        </w:tc>
        <w:tc>
          <w:tcPr>
            <w:tcW w:w="656" w:type="pct"/>
          </w:tcPr>
          <w:p w14:paraId="7F087C43" w14:textId="7520D54A" w:rsidR="0098054F" w:rsidRPr="00D05E46" w:rsidRDefault="00B943DC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Findings indicate that the teach-back method is effective in increasing patient health literacy and staff confidence. </w:t>
            </w:r>
          </w:p>
        </w:tc>
        <w:tc>
          <w:tcPr>
            <w:tcW w:w="544" w:type="pct"/>
          </w:tcPr>
          <w:p w14:paraId="039403BE" w14:textId="4180ED01" w:rsidR="0098054F" w:rsidRPr="00D05E46" w:rsidRDefault="00FC2DE5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The measures used were self-efficacy surveys</w:t>
            </w:r>
            <w:r w:rsidR="005C1AF1">
              <w:rPr>
                <w:rFonts w:eastAsia="Times New Roman" w:cs="Times New Roman"/>
                <w:kern w:val="0"/>
              </w:rPr>
              <w:t xml:space="preserve"> and participant feedback through open-ended questionnaires to determine the</w:t>
            </w:r>
            <w:r w:rsidR="00FA5E8B">
              <w:rPr>
                <w:rFonts w:eastAsia="Times New Roman" w:cs="Times New Roman"/>
                <w:kern w:val="0"/>
              </w:rPr>
              <w:t xml:space="preserve"> impact of the training program on community health workers. </w:t>
            </w:r>
          </w:p>
        </w:tc>
        <w:tc>
          <w:tcPr>
            <w:tcW w:w="430" w:type="pct"/>
          </w:tcPr>
          <w:p w14:paraId="60603BB4" w14:textId="4E0AEE67" w:rsidR="0098054F" w:rsidRPr="00D05E46" w:rsidRDefault="000C565E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One of the major limitations is that participant responses could be influenced by </w:t>
            </w:r>
            <w:r w:rsidR="00357A2C">
              <w:rPr>
                <w:rFonts w:eastAsia="Times New Roman" w:cs="Times New Roman"/>
                <w:kern w:val="0"/>
              </w:rPr>
              <w:t xml:space="preserve">biases in </w:t>
            </w:r>
            <w:r w:rsidR="00464BF3">
              <w:rPr>
                <w:rFonts w:eastAsia="Times New Roman" w:cs="Times New Roman"/>
                <w:kern w:val="0"/>
              </w:rPr>
              <w:t>social desirability</w:t>
            </w:r>
            <w:r w:rsidR="00357A2C"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293" w:type="pct"/>
          </w:tcPr>
          <w:p w14:paraId="66DF649F" w14:textId="4CC0D3B4" w:rsidR="0098054F" w:rsidRPr="00D05E46" w:rsidRDefault="00CB5C8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Level III, Quality A</w:t>
            </w:r>
          </w:p>
        </w:tc>
        <w:tc>
          <w:tcPr>
            <w:tcW w:w="292" w:type="pct"/>
          </w:tcPr>
          <w:p w14:paraId="232407BF" w14:textId="52728597" w:rsidR="0098054F" w:rsidRPr="00D05E46" w:rsidRDefault="002352F2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study is useful to ascertain the ability of the teach-back method in improving confidence and conviction among nurses when handling patients with bipolar disorder.  </w:t>
            </w:r>
          </w:p>
        </w:tc>
      </w:tr>
      <w:tr w:rsidR="0098054F" w:rsidRPr="00D05E46" w14:paraId="59006CF0" w14:textId="77777777" w:rsidTr="00CB16B0">
        <w:trPr>
          <w:trHeight w:val="661"/>
        </w:trPr>
        <w:tc>
          <w:tcPr>
            <w:tcW w:w="363" w:type="pct"/>
          </w:tcPr>
          <w:p w14:paraId="08BC6BD3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39" w:type="pct"/>
          </w:tcPr>
          <w:p w14:paraId="3F81443C" w14:textId="34BD581F" w:rsidR="0098054F" w:rsidRPr="00D05E46" w:rsidRDefault="00464BF3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10213</w:t>
            </w:r>
          </w:p>
        </w:tc>
        <w:tc>
          <w:tcPr>
            <w:tcW w:w="633" w:type="pct"/>
          </w:tcPr>
          <w:p w14:paraId="020FCEDE" w14:textId="77777777" w:rsidR="006E40FD" w:rsidRDefault="006E40FD" w:rsidP="00E47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B7">
              <w:rPr>
                <w:rFonts w:ascii="Times New Roman" w:hAnsi="Times New Roman" w:cs="Times New Roman"/>
                <w:sz w:val="24"/>
                <w:szCs w:val="24"/>
              </w:rPr>
              <w:t xml:space="preserve">Loots, E., Goossens, E., </w:t>
            </w:r>
            <w:proofErr w:type="spellStart"/>
            <w:r w:rsidRPr="004A0EB7">
              <w:rPr>
                <w:rFonts w:ascii="Times New Roman" w:hAnsi="Times New Roman" w:cs="Times New Roman"/>
                <w:sz w:val="24"/>
                <w:szCs w:val="24"/>
              </w:rPr>
              <w:t>Vanwesemael</w:t>
            </w:r>
            <w:proofErr w:type="spellEnd"/>
            <w:r w:rsidRPr="004A0EB7">
              <w:rPr>
                <w:rFonts w:ascii="Times New Roman" w:hAnsi="Times New Roman" w:cs="Times New Roman"/>
                <w:sz w:val="24"/>
                <w:szCs w:val="24"/>
              </w:rPr>
              <w:t xml:space="preserve">, T., Morrens, M., Van Rompaey, B., &amp; </w:t>
            </w:r>
            <w:proofErr w:type="spellStart"/>
            <w:r w:rsidRPr="004A0EB7">
              <w:rPr>
                <w:rFonts w:ascii="Times New Roman" w:hAnsi="Times New Roman" w:cs="Times New Roman"/>
                <w:sz w:val="24"/>
                <w:szCs w:val="24"/>
              </w:rPr>
              <w:t>Dilles</w:t>
            </w:r>
            <w:proofErr w:type="spellEnd"/>
            <w:r w:rsidRPr="004A0EB7">
              <w:rPr>
                <w:rFonts w:ascii="Times New Roman" w:hAnsi="Times New Roman" w:cs="Times New Roman"/>
                <w:sz w:val="24"/>
                <w:szCs w:val="24"/>
              </w:rPr>
              <w:t xml:space="preserve">, T. (2021). </w:t>
            </w:r>
          </w:p>
          <w:p w14:paraId="337FB9D2" w14:textId="77777777" w:rsidR="006E40FD" w:rsidRDefault="006E40FD" w:rsidP="00E47746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A0EB7">
              <w:rPr>
                <w:rFonts w:ascii="Times New Roman" w:hAnsi="Times New Roman" w:cs="Times New Roman"/>
                <w:sz w:val="24"/>
                <w:szCs w:val="24"/>
              </w:rPr>
              <w:t xml:space="preserve">Interventions to improve medication adherence in patients with schizophrenia or bipolar disorders: a systematic </w:t>
            </w:r>
            <w:r w:rsidRPr="004A0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review and meta-analysis. </w:t>
            </w:r>
            <w:r w:rsidRPr="004A0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 Journal of Environmental Research and Public Health</w:t>
            </w:r>
            <w:r w:rsidRPr="004A0EB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A0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Pr="004A0EB7">
              <w:rPr>
                <w:rFonts w:ascii="Times New Roman" w:hAnsi="Times New Roman" w:cs="Times New Roman"/>
                <w:sz w:val="24"/>
                <w:szCs w:val="24"/>
              </w:rPr>
              <w:t xml:space="preserve">(19), 10213. </w:t>
            </w:r>
            <w:hyperlink r:id="rId7" w:history="1"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https://doi.org/10.3390/ijerph181910213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238FAE" w14:textId="77777777" w:rsidR="0098054F" w:rsidRPr="00D05E46" w:rsidRDefault="0098054F" w:rsidP="00E47746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63" w:type="pct"/>
          </w:tcPr>
          <w:p w14:paraId="384BF6E7" w14:textId="2B3A6B30" w:rsidR="0098054F" w:rsidRPr="00D05E46" w:rsidRDefault="00E6607A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Systematic review</w:t>
            </w:r>
            <w:r w:rsidR="004F2B83">
              <w:rPr>
                <w:rFonts w:eastAsia="Times New Roman" w:cs="Times New Roman"/>
                <w:kern w:val="0"/>
              </w:rPr>
              <w:t xml:space="preserve"> and </w:t>
            </w:r>
            <w:r w:rsidR="00182F17">
              <w:rPr>
                <w:rFonts w:eastAsia="Times New Roman" w:cs="Times New Roman"/>
                <w:kern w:val="0"/>
              </w:rPr>
              <w:t>meta-analysis</w:t>
            </w:r>
          </w:p>
        </w:tc>
        <w:tc>
          <w:tcPr>
            <w:tcW w:w="498" w:type="pct"/>
          </w:tcPr>
          <w:p w14:paraId="554BDCF3" w14:textId="31FB39D7" w:rsidR="0098054F" w:rsidRPr="00D05E46" w:rsidRDefault="00234CDC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Data from multiple sources was synthesized that focused on various participants diagnosed with schizophrenia and bipolar disorder. </w:t>
            </w:r>
          </w:p>
        </w:tc>
        <w:tc>
          <w:tcPr>
            <w:tcW w:w="589" w:type="pct"/>
          </w:tcPr>
          <w:p w14:paraId="5A6838BB" w14:textId="25E43DA8" w:rsidR="0098054F" w:rsidRPr="00D05E46" w:rsidRDefault="005074BA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study looked at </w:t>
            </w:r>
            <w:r w:rsidR="00130E2F">
              <w:rPr>
                <w:rFonts w:eastAsia="Times New Roman" w:cs="Times New Roman"/>
                <w:kern w:val="0"/>
              </w:rPr>
              <w:t xml:space="preserve">various educational programs and </w:t>
            </w:r>
            <w:r w:rsidR="00713FF3">
              <w:rPr>
                <w:rFonts w:eastAsia="Times New Roman" w:cs="Times New Roman"/>
                <w:kern w:val="0"/>
              </w:rPr>
              <w:t>behavioural</w:t>
            </w:r>
            <w:r w:rsidR="00130E2F">
              <w:rPr>
                <w:rFonts w:eastAsia="Times New Roman" w:cs="Times New Roman"/>
                <w:kern w:val="0"/>
              </w:rPr>
              <w:t xml:space="preserve"> therapies to enhance medication adherence. The educational programs </w:t>
            </w:r>
            <w:r w:rsidR="00713FF3">
              <w:rPr>
                <w:rFonts w:eastAsia="Times New Roman" w:cs="Times New Roman"/>
                <w:kern w:val="0"/>
              </w:rPr>
              <w:t>were designed to inform patients about medication adherence</w:t>
            </w:r>
            <w:r w:rsidR="00020332">
              <w:rPr>
                <w:rFonts w:eastAsia="Times New Roman" w:cs="Times New Roman"/>
                <w:kern w:val="0"/>
              </w:rPr>
              <w:t xml:space="preserve">. </w:t>
            </w:r>
          </w:p>
        </w:tc>
        <w:tc>
          <w:tcPr>
            <w:tcW w:w="656" w:type="pct"/>
          </w:tcPr>
          <w:p w14:paraId="6B5551B2" w14:textId="63F0A2B8" w:rsidR="0098054F" w:rsidRPr="00D05E46" w:rsidRDefault="00344812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Findings from the study indicate that medication adherence was successful given the implementation of educational and </w:t>
            </w:r>
            <w:r w:rsidR="001C516C">
              <w:rPr>
                <w:rFonts w:eastAsia="Times New Roman" w:cs="Times New Roman"/>
                <w:kern w:val="0"/>
              </w:rPr>
              <w:t>behavioural</w:t>
            </w:r>
            <w:r>
              <w:rPr>
                <w:rFonts w:eastAsia="Times New Roman" w:cs="Times New Roman"/>
                <w:kern w:val="0"/>
              </w:rPr>
              <w:t xml:space="preserve"> programs focused on</w:t>
            </w:r>
            <w:r w:rsidR="00613494">
              <w:rPr>
                <w:rFonts w:eastAsia="Times New Roman" w:cs="Times New Roman"/>
                <w:kern w:val="0"/>
              </w:rPr>
              <w:t xml:space="preserve"> patient engagement in their care plans. </w:t>
            </w:r>
            <w:r>
              <w:rPr>
                <w:rFonts w:eastAsia="Times New Roman" w:cs="Times New Roman"/>
                <w:kern w:val="0"/>
              </w:rPr>
              <w:t xml:space="preserve"> </w:t>
            </w:r>
          </w:p>
        </w:tc>
        <w:tc>
          <w:tcPr>
            <w:tcW w:w="544" w:type="pct"/>
          </w:tcPr>
          <w:p w14:paraId="432C0BDB" w14:textId="3D4463FB" w:rsidR="0098054F" w:rsidRPr="00D05E46" w:rsidRDefault="009150E0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Systematic review including a </w:t>
            </w:r>
            <w:r w:rsidR="000755CF">
              <w:rPr>
                <w:rFonts w:eastAsia="Times New Roman" w:cs="Times New Roman"/>
                <w:kern w:val="0"/>
              </w:rPr>
              <w:t xml:space="preserve">meta-analysis </w:t>
            </w:r>
            <w:r w:rsidR="00A16795">
              <w:rPr>
                <w:rFonts w:eastAsia="Times New Roman" w:cs="Times New Roman"/>
                <w:kern w:val="0"/>
              </w:rPr>
              <w:t>to determine</w:t>
            </w:r>
            <w:r w:rsidR="00990A0B">
              <w:rPr>
                <w:rFonts w:eastAsia="Times New Roman" w:cs="Times New Roman"/>
                <w:kern w:val="0"/>
              </w:rPr>
              <w:t xml:space="preserve"> adherence rates after the implementation of the intervention. </w:t>
            </w:r>
            <w:r>
              <w:rPr>
                <w:rFonts w:eastAsia="Times New Roman" w:cs="Times New Roman"/>
                <w:kern w:val="0"/>
              </w:rPr>
              <w:t xml:space="preserve"> </w:t>
            </w:r>
          </w:p>
        </w:tc>
        <w:tc>
          <w:tcPr>
            <w:tcW w:w="430" w:type="pct"/>
          </w:tcPr>
          <w:p w14:paraId="0BCFA382" w14:textId="3F76B537" w:rsidR="0098054F" w:rsidRPr="00D05E46" w:rsidRDefault="00A16795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major limitation was that there were concern that </w:t>
            </w:r>
            <w:r w:rsidR="001D7180">
              <w:rPr>
                <w:rFonts w:eastAsia="Times New Roman" w:cs="Times New Roman"/>
                <w:kern w:val="0"/>
              </w:rPr>
              <w:t xml:space="preserve">there could be imprecision for educational and </w:t>
            </w:r>
            <w:r w:rsidR="00195ADF">
              <w:rPr>
                <w:rFonts w:eastAsia="Times New Roman" w:cs="Times New Roman"/>
                <w:kern w:val="0"/>
              </w:rPr>
              <w:t>behavioural</w:t>
            </w:r>
            <w:r w:rsidR="001D7180">
              <w:rPr>
                <w:rFonts w:eastAsia="Times New Roman" w:cs="Times New Roman"/>
                <w:kern w:val="0"/>
              </w:rPr>
              <w:t xml:space="preserve"> interventions since the number of participants were low. </w:t>
            </w:r>
          </w:p>
        </w:tc>
        <w:tc>
          <w:tcPr>
            <w:tcW w:w="293" w:type="pct"/>
          </w:tcPr>
          <w:p w14:paraId="37C068A0" w14:textId="53238B85" w:rsidR="0098054F" w:rsidRPr="00D05E46" w:rsidRDefault="00EE50B1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Level I, Quality B</w:t>
            </w:r>
          </w:p>
        </w:tc>
        <w:tc>
          <w:tcPr>
            <w:tcW w:w="292" w:type="pct"/>
          </w:tcPr>
          <w:p w14:paraId="6B7A9704" w14:textId="58C5AD5C" w:rsidR="0098054F" w:rsidRPr="00D05E46" w:rsidRDefault="00023745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source will help evaluate whether the teach-back method as an education program will be effective in encouraging medication adherence. </w:t>
            </w:r>
          </w:p>
        </w:tc>
      </w:tr>
      <w:bookmarkEnd w:id="0"/>
      <w:tr w:rsidR="0098054F" w:rsidRPr="00D05E46" w14:paraId="137071B8" w14:textId="77777777" w:rsidTr="00CB16B0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1007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20C" w14:textId="5D004DF8" w:rsidR="0098054F" w:rsidRPr="00D05E46" w:rsidRDefault="004552DE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 w:rsidRPr="004552DE">
              <w:rPr>
                <w:rFonts w:eastAsia="Times New Roman" w:cs="Times New Roman"/>
                <w:kern w:val="0"/>
              </w:rPr>
              <w:t>e0231350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E04E" w14:textId="77777777" w:rsidR="00221E68" w:rsidRDefault="00221E68" w:rsidP="007027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086">
              <w:rPr>
                <w:rFonts w:ascii="Times New Roman" w:hAnsi="Times New Roman" w:cs="Times New Roman"/>
                <w:sz w:val="24"/>
                <w:szCs w:val="24"/>
              </w:rPr>
              <w:t xml:space="preserve">Talevski, J., Wong </w:t>
            </w:r>
            <w:proofErr w:type="spellStart"/>
            <w:r w:rsidRPr="00114086">
              <w:rPr>
                <w:rFonts w:ascii="Times New Roman" w:hAnsi="Times New Roman" w:cs="Times New Roman"/>
                <w:sz w:val="24"/>
                <w:szCs w:val="24"/>
              </w:rPr>
              <w:t>Shee</w:t>
            </w:r>
            <w:proofErr w:type="spellEnd"/>
            <w:r w:rsidRPr="00114086">
              <w:rPr>
                <w:rFonts w:ascii="Times New Roman" w:hAnsi="Times New Roman" w:cs="Times New Roman"/>
                <w:sz w:val="24"/>
                <w:szCs w:val="24"/>
              </w:rPr>
              <w:t xml:space="preserve">, A., Rasmussen, B., Kemp, G., &amp; Beauchamp, A. (2020). Teach-back: a </w:t>
            </w:r>
          </w:p>
          <w:p w14:paraId="1205E3A9" w14:textId="77777777" w:rsidR="00221E68" w:rsidRDefault="00221E68" w:rsidP="007027F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14086">
              <w:rPr>
                <w:rFonts w:ascii="Times New Roman" w:hAnsi="Times New Roman" w:cs="Times New Roman"/>
                <w:sz w:val="24"/>
                <w:szCs w:val="24"/>
              </w:rPr>
              <w:t>systematic review of implementation and impacts. </w:t>
            </w:r>
            <w:proofErr w:type="spellStart"/>
            <w:r w:rsidRPr="001140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PloS</w:t>
            </w:r>
            <w:proofErr w:type="spellEnd"/>
            <w:r w:rsidRPr="001140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one</w:t>
            </w:r>
            <w:r w:rsidRPr="0011408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1140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Pr="00114086">
              <w:rPr>
                <w:rFonts w:ascii="Times New Roman" w:hAnsi="Times New Roman" w:cs="Times New Roman"/>
                <w:sz w:val="24"/>
                <w:szCs w:val="24"/>
              </w:rPr>
              <w:t xml:space="preserve">(4), e0231350. </w:t>
            </w:r>
            <w:hyperlink r:id="rId8" w:history="1"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https://doi.org/10.1371/journal.pone.0</w:t>
              </w:r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231350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67E00" w14:textId="77777777" w:rsidR="0098054F" w:rsidRPr="00D05E46" w:rsidRDefault="0098054F" w:rsidP="007027FA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B38" w14:textId="25E75FC8" w:rsidR="0098054F" w:rsidRPr="00D05E46" w:rsidRDefault="00762CA6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Systematic review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D798" w14:textId="6EFDEBF3" w:rsidR="0098054F" w:rsidRPr="00D05E46" w:rsidRDefault="000A1A0D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Individuals with chronic conditions from various </w:t>
            </w:r>
            <w:r w:rsidR="00D675D8">
              <w:rPr>
                <w:rFonts w:eastAsia="Times New Roman" w:cs="Times New Roman"/>
                <w:kern w:val="0"/>
              </w:rPr>
              <w:t>studies who benefitted from the teach-back</w:t>
            </w:r>
            <w:r w:rsidR="00BB775D">
              <w:rPr>
                <w:rFonts w:eastAsia="Times New Roman" w:cs="Times New Roman"/>
                <w:kern w:val="0"/>
              </w:rPr>
              <w:t xml:space="preserve"> </w:t>
            </w:r>
            <w:r w:rsidR="00D675D8">
              <w:rPr>
                <w:rFonts w:eastAsia="Times New Roman" w:cs="Times New Roman"/>
                <w:kern w:val="0"/>
              </w:rPr>
              <w:t xml:space="preserve">method.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C832" w14:textId="0C64514C" w:rsidR="0098054F" w:rsidRPr="00D05E46" w:rsidRDefault="00C56622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intervention was the teach-back method </w:t>
            </w:r>
            <w:r w:rsidR="003F3EF7">
              <w:rPr>
                <w:rFonts w:eastAsia="Times New Roman" w:cs="Times New Roman"/>
                <w:kern w:val="0"/>
              </w:rPr>
              <w:t xml:space="preserve">with the goal to confirm that patients understand </w:t>
            </w:r>
            <w:r w:rsidR="00520F52">
              <w:rPr>
                <w:rFonts w:eastAsia="Times New Roman" w:cs="Times New Roman"/>
                <w:kern w:val="0"/>
              </w:rPr>
              <w:t xml:space="preserve">the provided information and can apply it to manage their symptoms and improve their health.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083F" w14:textId="48CB52F1" w:rsidR="0098054F" w:rsidRPr="00D05E46" w:rsidRDefault="00737539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After the study, nineteen out of twenty </w:t>
            </w:r>
            <w:r w:rsidR="00F40AF8">
              <w:rPr>
                <w:rFonts w:eastAsia="Times New Roman" w:cs="Times New Roman"/>
                <w:kern w:val="0"/>
              </w:rPr>
              <w:t>studies demonstrated improved outcomes associated with the teach-back</w:t>
            </w:r>
            <w:r w:rsidR="0098406F">
              <w:rPr>
                <w:rFonts w:eastAsia="Times New Roman" w:cs="Times New Roman"/>
                <w:kern w:val="0"/>
              </w:rPr>
              <w:t xml:space="preserve"> </w:t>
            </w:r>
            <w:r w:rsidR="00F40AF8">
              <w:rPr>
                <w:rFonts w:eastAsia="Times New Roman" w:cs="Times New Roman"/>
                <w:kern w:val="0"/>
              </w:rPr>
              <w:t xml:space="preserve">method </w:t>
            </w:r>
            <w:r w:rsidR="0098406F">
              <w:rPr>
                <w:rFonts w:eastAsia="Times New Roman" w:cs="Times New Roman"/>
                <w:kern w:val="0"/>
              </w:rPr>
              <w:t xml:space="preserve">such as reduced hospitalizations and improved quality of life.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29D0" w14:textId="1B3268FE" w:rsidR="0098054F" w:rsidRPr="00D05E46" w:rsidRDefault="002822D9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study assessed the improvement in quality of life </w:t>
            </w:r>
            <w:r w:rsidR="00B26C51">
              <w:rPr>
                <w:rFonts w:eastAsia="Times New Roman" w:cs="Times New Roman"/>
                <w:kern w:val="0"/>
              </w:rPr>
              <w:t xml:space="preserve">and hospital </w:t>
            </w:r>
            <w:r w:rsidR="00471391">
              <w:rPr>
                <w:rFonts w:eastAsia="Times New Roman" w:cs="Times New Roman"/>
                <w:kern w:val="0"/>
              </w:rPr>
              <w:t>readmission rates</w:t>
            </w:r>
            <w:r w:rsidR="00B26C51">
              <w:rPr>
                <w:rFonts w:eastAsia="Times New Roman" w:cs="Times New Roman"/>
                <w:kern w:val="0"/>
              </w:rPr>
              <w:t xml:space="preserve"> to ascertain the effectiveness of the intervention.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AA2" w14:textId="18EC368E" w:rsidR="0098054F" w:rsidRPr="00D05E46" w:rsidRDefault="00471391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limitation is that the included studies varied in outcomes, populations and settings, making it challenging for direct comparisons.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79EC" w14:textId="6D30DCB8" w:rsidR="0098054F" w:rsidRPr="00D05E46" w:rsidRDefault="008C3D7C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Level I, Quality 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411B" w14:textId="68AB7969" w:rsidR="0098054F" w:rsidRPr="00D05E46" w:rsidRDefault="00E26C2D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This is among the main studies useful in </w:t>
            </w:r>
            <w:r w:rsidR="00451A2A">
              <w:rPr>
                <w:rFonts w:eastAsia="Times New Roman" w:cs="Times New Roman"/>
                <w:kern w:val="0"/>
              </w:rPr>
              <w:t xml:space="preserve">supporting the essence of the teach-back method. </w:t>
            </w:r>
          </w:p>
        </w:tc>
      </w:tr>
      <w:tr w:rsidR="0098054F" w:rsidRPr="00D05E46" w14:paraId="48B1E11C" w14:textId="77777777" w:rsidTr="00CB16B0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4934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33EC" w14:textId="54191E62" w:rsidR="0098054F" w:rsidRPr="00D05E46" w:rsidRDefault="007027FA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2337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0B19" w14:textId="77777777" w:rsidR="00803727" w:rsidRDefault="00803727" w:rsidP="008037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E">
              <w:rPr>
                <w:rFonts w:ascii="Times New Roman" w:hAnsi="Times New Roman" w:cs="Times New Roman"/>
                <w:sz w:val="24"/>
                <w:szCs w:val="24"/>
              </w:rPr>
              <w:t xml:space="preserve">Berardinelli, D., Conti, A., Hasnaoui, A., Casabona, E., Martin, B., Campagna, S., &amp; Dimonte, V. </w:t>
            </w:r>
          </w:p>
          <w:p w14:paraId="10038E09" w14:textId="77777777" w:rsidR="00803727" w:rsidRDefault="00803727" w:rsidP="00803727">
            <w:pPr>
              <w:spacing w:line="48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E">
              <w:rPr>
                <w:rFonts w:ascii="Times New Roman" w:hAnsi="Times New Roman" w:cs="Times New Roman"/>
                <w:sz w:val="24"/>
                <w:szCs w:val="24"/>
              </w:rPr>
              <w:t>(2024, November). Nurse-Led Intervent</w:t>
            </w:r>
            <w:r w:rsidRPr="00153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ions for Improving Medication Adherence in Chronic Diseases: A Systematic Review. In </w:t>
            </w:r>
            <w:r w:rsidRPr="00153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153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ealthcare</w:t>
            </w:r>
            <w:r w:rsidRPr="0015332E">
              <w:rPr>
                <w:rFonts w:ascii="Times New Roman" w:hAnsi="Times New Roman" w:cs="Times New Roman"/>
                <w:sz w:val="24"/>
                <w:szCs w:val="24"/>
              </w:rPr>
              <w:t> (Vol. 12, No. 23, p. 2337). MDPI.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https://doi.org/10.3390/healthcare12232337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E4AB05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A0D5" w14:textId="331FC049" w:rsidR="0098054F" w:rsidRPr="00D05E46" w:rsidRDefault="000D36BB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Systematic review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BFD5" w14:textId="77AFECD6" w:rsidR="0098054F" w:rsidRPr="00D05E46" w:rsidRDefault="008D6947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review </w:t>
            </w:r>
            <w:r w:rsidR="006B2A5D">
              <w:rPr>
                <w:rFonts w:eastAsia="Times New Roman" w:cs="Times New Roman"/>
                <w:kern w:val="0"/>
              </w:rPr>
              <w:t>analysed</w:t>
            </w:r>
            <w:r>
              <w:rPr>
                <w:rFonts w:eastAsia="Times New Roman" w:cs="Times New Roman"/>
                <w:kern w:val="0"/>
              </w:rPr>
              <w:t xml:space="preserve"> 22 studies consisting of a total of 5,975 participants.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78C" w14:textId="4543D148" w:rsidR="0098054F" w:rsidRPr="00D05E46" w:rsidRDefault="006D68E7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intervention included educating and counselling patients to ensure that they understood their treatment plans </w:t>
            </w:r>
            <w:r w:rsidR="003D1E65">
              <w:rPr>
                <w:rFonts w:eastAsia="Times New Roman" w:cs="Times New Roman"/>
                <w:kern w:val="0"/>
              </w:rPr>
              <w:t xml:space="preserve">in addition to the essence of medication adherence. </w:t>
            </w:r>
            <w:r>
              <w:rPr>
                <w:rFonts w:eastAsia="Times New Roman" w:cs="Times New Roman"/>
                <w:kern w:val="0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667" w14:textId="74F16951" w:rsidR="0098054F" w:rsidRPr="00D05E46" w:rsidRDefault="007E0AFD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Findings indicate that nurse-led face-to-face visits were an effective approach to improving medication adherence. 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0AA" w14:textId="2D4B8A49" w:rsidR="0098054F" w:rsidRPr="00D05E46" w:rsidRDefault="007C45F8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Measures used were checking the medication adherence rates and </w:t>
            </w:r>
            <w:r w:rsidR="006E7843">
              <w:rPr>
                <w:rFonts w:eastAsia="Times New Roman" w:cs="Times New Roman"/>
                <w:kern w:val="0"/>
              </w:rPr>
              <w:t>evaluating health</w:t>
            </w:r>
            <w:r>
              <w:rPr>
                <w:rFonts w:eastAsia="Times New Roman" w:cs="Times New Roman"/>
                <w:kern w:val="0"/>
              </w:rPr>
              <w:t xml:space="preserve"> indicators such as symptom reduction.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EC07" w14:textId="7FAF9C93" w:rsidR="0098054F" w:rsidRPr="00D05E46" w:rsidRDefault="0078126A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limitation is that most studies had </w:t>
            </w:r>
            <w:r w:rsidR="0045002B">
              <w:rPr>
                <w:rFonts w:eastAsia="Times New Roman" w:cs="Times New Roman"/>
                <w:kern w:val="0"/>
              </w:rPr>
              <w:t>no comprehensive</w:t>
            </w:r>
            <w:r>
              <w:rPr>
                <w:rFonts w:eastAsia="Times New Roman" w:cs="Times New Roman"/>
                <w:kern w:val="0"/>
              </w:rPr>
              <w:t xml:space="preserve"> information </w:t>
            </w:r>
            <w:r w:rsidR="00B9501B">
              <w:rPr>
                <w:rFonts w:eastAsia="Times New Roman" w:cs="Times New Roman"/>
                <w:kern w:val="0"/>
              </w:rPr>
              <w:t xml:space="preserve">regarding how the interventions were implemented </w:t>
            </w:r>
            <w:r w:rsidR="008F25A4">
              <w:rPr>
                <w:rFonts w:eastAsia="Times New Roman" w:cs="Times New Roman"/>
                <w:kern w:val="0"/>
              </w:rPr>
              <w:t xml:space="preserve">thereby hindering their scalability and feasibility.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B351" w14:textId="424F1301" w:rsidR="0098054F" w:rsidRPr="00D05E46" w:rsidRDefault="009B4396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Level II, Quality 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E0C" w14:textId="5DB81EFF" w:rsidR="0098054F" w:rsidRPr="00D05E46" w:rsidRDefault="00197C01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study has mentioned nurse-led face-to-face intervention which is crucial as the identified practice problem relates to passive approaches when handling patients. </w:t>
            </w:r>
          </w:p>
        </w:tc>
      </w:tr>
      <w:bookmarkEnd w:id="1"/>
      <w:tr w:rsidR="0098054F" w:rsidRPr="00D05E46" w14:paraId="0E84E5B8" w14:textId="77777777" w:rsidTr="00CB16B0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556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019" w14:textId="77777777" w:rsidR="0098054F" w:rsidRPr="00D05E46" w:rsidRDefault="0098054F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244C" w14:textId="77777777" w:rsidR="003A4041" w:rsidRDefault="003A4041" w:rsidP="003A40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815">
              <w:rPr>
                <w:rFonts w:ascii="Times New Roman" w:hAnsi="Times New Roman" w:cs="Times New Roman"/>
                <w:sz w:val="24"/>
                <w:szCs w:val="24"/>
              </w:rPr>
              <w:t xml:space="preserve">Adebayo, E. (2024). Educating Staff to Use the Teach-Back Method Towards Improving </w:t>
            </w:r>
          </w:p>
          <w:p w14:paraId="6C1952A9" w14:textId="680A3CB1" w:rsidR="0098054F" w:rsidRPr="00D05E46" w:rsidRDefault="003A4041" w:rsidP="003A40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 w:rsidRPr="00EE2815">
              <w:rPr>
                <w:rFonts w:ascii="Times New Roman" w:hAnsi="Times New Roman" w:cs="Times New Roman"/>
                <w:sz w:val="24"/>
                <w:szCs w:val="24"/>
              </w:rPr>
              <w:t xml:space="preserve">Adherence to Antipsychotic Medication. </w:t>
            </w:r>
            <w:hyperlink r:id="rId10" w:history="1">
              <w:r w:rsidRPr="001F734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https://scholarworks.waldenu.edu/dissertations?utm_source=scholarworks.waldenu.edu%2Fdissertations%2F16725&amp;utm_medium=PDF&amp;utm_campaign=PDFCoverPages</w:t>
              </w:r>
            </w:hyperlink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0699" w14:textId="0BD26298" w:rsidR="0098054F" w:rsidRPr="00D05E46" w:rsidRDefault="000B301D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Dissertation study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CFF4" w14:textId="19BB8C41" w:rsidR="0098054F" w:rsidRPr="00D05E46" w:rsidRDefault="00196E69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A total of 30 nurses were participants in the education program</w:t>
            </w:r>
            <w:r w:rsidR="00CD46A1">
              <w:rPr>
                <w:rFonts w:eastAsia="Times New Roman" w:cs="Times New Roman"/>
                <w:kern w:val="0"/>
              </w:rPr>
              <w:t xml:space="preserve"> and completed a pre- and pro-test evaluation. </w:t>
            </w:r>
            <w:r>
              <w:rPr>
                <w:rFonts w:eastAsia="Times New Roman" w:cs="Times New Roman"/>
                <w:kern w:val="0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C293" w14:textId="3522C6F5" w:rsidR="0098054F" w:rsidRPr="00D05E46" w:rsidRDefault="00B15591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intervention was implementing a teach-back method to evaluate the outcomes in terms of quality of care from the nurses to patients.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2957" w14:textId="5098D5EA" w:rsidR="0098054F" w:rsidRPr="00D05E46" w:rsidRDefault="009B03EA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Findings indicate</w:t>
            </w:r>
            <w:r w:rsidR="002C0023">
              <w:rPr>
                <w:rFonts w:eastAsia="Times New Roman" w:cs="Times New Roman"/>
                <w:kern w:val="0"/>
              </w:rPr>
              <w:t xml:space="preserve"> </w:t>
            </w:r>
            <w:r w:rsidR="00D66F75">
              <w:rPr>
                <w:rFonts w:eastAsia="Times New Roman" w:cs="Times New Roman"/>
                <w:kern w:val="0"/>
              </w:rPr>
              <w:t xml:space="preserve">an improvement in </w:t>
            </w:r>
            <w:r w:rsidR="00403868">
              <w:rPr>
                <w:rFonts w:eastAsia="Times New Roman" w:cs="Times New Roman"/>
                <w:kern w:val="0"/>
              </w:rPr>
              <w:t>the knowledge of nurses after implementing the teach-back approach,</w:t>
            </w:r>
            <w:r w:rsidR="00E51FE5">
              <w:rPr>
                <w:rFonts w:eastAsia="Times New Roman" w:cs="Times New Roman"/>
                <w:kern w:val="0"/>
              </w:rPr>
              <w:t xml:space="preserve"> </w:t>
            </w:r>
            <w:r w:rsidR="00403868">
              <w:rPr>
                <w:rFonts w:eastAsia="Times New Roman" w:cs="Times New Roman"/>
                <w:kern w:val="0"/>
              </w:rPr>
              <w:t xml:space="preserve">which aligned with positive health outcomes.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154" w14:textId="4E51A911" w:rsidR="0098054F" w:rsidRPr="00D05E46" w:rsidRDefault="00540693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Data from the pre-and post-test was analysed using descriptive statistics through the SPSS program.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7B5F" w14:textId="709D4BF2" w:rsidR="0098054F" w:rsidRPr="00D05E46" w:rsidRDefault="009C5672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limitation was that the </w:t>
            </w:r>
            <w:r w:rsidR="00F54924">
              <w:rPr>
                <w:rFonts w:eastAsia="Times New Roman" w:cs="Times New Roman"/>
                <w:kern w:val="0"/>
              </w:rPr>
              <w:t>participants</w:t>
            </w:r>
            <w:r>
              <w:rPr>
                <w:rFonts w:eastAsia="Times New Roman" w:cs="Times New Roman"/>
                <w:kern w:val="0"/>
              </w:rPr>
              <w:t xml:space="preserve"> were smaller in size.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CC4" w14:textId="735D2A28" w:rsidR="0098054F" w:rsidRPr="00D05E46" w:rsidRDefault="00420AA1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Level II, Quality 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291" w14:textId="08C7ADA6" w:rsidR="0098054F" w:rsidRPr="00D05E46" w:rsidRDefault="005C1BCA" w:rsidP="00CB16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The study is useful as it </w:t>
            </w:r>
            <w:proofErr w:type="gramStart"/>
            <w:r>
              <w:rPr>
                <w:rFonts w:eastAsia="Times New Roman" w:cs="Times New Roman"/>
                <w:kern w:val="0"/>
              </w:rPr>
              <w:t>confirm</w:t>
            </w:r>
            <w:proofErr w:type="gramEnd"/>
            <w:r>
              <w:rPr>
                <w:rFonts w:eastAsia="Times New Roman" w:cs="Times New Roman"/>
                <w:kern w:val="0"/>
              </w:rPr>
              <w:t xml:space="preserve"> the effectiveness of the teach-</w:t>
            </w:r>
            <w:r w:rsidR="0055514B">
              <w:rPr>
                <w:rFonts w:eastAsia="Times New Roman" w:cs="Times New Roman"/>
                <w:kern w:val="0"/>
              </w:rPr>
              <w:t>back method</w:t>
            </w:r>
            <w:r>
              <w:rPr>
                <w:rFonts w:eastAsia="Times New Roman" w:cs="Times New Roman"/>
                <w:kern w:val="0"/>
              </w:rPr>
              <w:t xml:space="preserve"> and its impact on patient outcomes. </w:t>
            </w:r>
          </w:p>
        </w:tc>
      </w:tr>
    </w:tbl>
    <w:p w14:paraId="430FF2B5" w14:textId="77777777" w:rsidR="000E583C" w:rsidRDefault="000E583C" w:rsidP="000E583C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14:paraId="07DDD802" w14:textId="77777777" w:rsidR="0055514B" w:rsidRDefault="0055514B" w:rsidP="000E583C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14:paraId="5E6BA6D2" w14:textId="77777777" w:rsidR="00DF39DC" w:rsidRDefault="00DF39DC" w:rsidP="004A78F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904A1" w14:textId="2B75B9F5" w:rsidR="004A78F0" w:rsidRDefault="004A78F0" w:rsidP="004A78F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F7B4EFC" w14:textId="77777777" w:rsidR="00EE2815" w:rsidRDefault="00DB6E7A" w:rsidP="00DB6E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2815">
        <w:rPr>
          <w:rFonts w:ascii="Times New Roman" w:hAnsi="Times New Roman" w:cs="Times New Roman"/>
          <w:sz w:val="24"/>
          <w:szCs w:val="24"/>
        </w:rPr>
        <w:t xml:space="preserve">Adebayo, E. (2024). Educating Staff to Use the Teach-Back Method Towards Improving </w:t>
      </w:r>
    </w:p>
    <w:p w14:paraId="16F1A115" w14:textId="5546363E" w:rsidR="00DB6E7A" w:rsidRDefault="00DB6E7A" w:rsidP="00EE281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2815">
        <w:rPr>
          <w:rFonts w:ascii="Times New Roman" w:hAnsi="Times New Roman" w:cs="Times New Roman"/>
          <w:sz w:val="24"/>
          <w:szCs w:val="24"/>
        </w:rPr>
        <w:t>Adherence to Antipsychotic Medication.</w:t>
      </w:r>
      <w:r w:rsidR="001B1213" w:rsidRPr="00EE281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E2815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https://scholarworks.waldenu.edu/dissertations?utm_source=scholarworks.waldenu.edu%2Fdissertations%2F16725&amp;utm_medium=PDF&amp;utm_campaign=PDFCoverPages</w:t>
        </w:r>
      </w:hyperlink>
      <w:r w:rsidR="00EE2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C8D54" w14:textId="77777777" w:rsidR="009849BC" w:rsidRDefault="000D6E4B" w:rsidP="000D6E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332E">
        <w:rPr>
          <w:rFonts w:ascii="Times New Roman" w:hAnsi="Times New Roman" w:cs="Times New Roman"/>
          <w:sz w:val="24"/>
          <w:szCs w:val="24"/>
        </w:rPr>
        <w:t xml:space="preserve">Berardinelli, D., Conti, A., Hasnaoui, A., Casabona, E., Martin, B., Campagna, S., &amp; Dimonte, V. </w:t>
      </w:r>
    </w:p>
    <w:p w14:paraId="7D42F9D4" w14:textId="6F6F195A" w:rsidR="000D6E4B" w:rsidRDefault="000D6E4B" w:rsidP="009849B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332E">
        <w:rPr>
          <w:rFonts w:ascii="Times New Roman" w:hAnsi="Times New Roman" w:cs="Times New Roman"/>
          <w:sz w:val="24"/>
          <w:szCs w:val="24"/>
        </w:rPr>
        <w:t>(2024, November). Nurse-Led Interventions for Improving Medication Adherence in Chronic Diseases: A Systematic Review. In </w:t>
      </w:r>
      <w:r w:rsidRPr="0015332E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r w:rsidRPr="0015332E">
        <w:rPr>
          <w:rFonts w:ascii="Times New Roman" w:hAnsi="Times New Roman" w:cs="Times New Roman"/>
          <w:sz w:val="24"/>
          <w:szCs w:val="24"/>
        </w:rPr>
        <w:t> (Vol. 12, No. 23, p. 2337). MDPI.</w:t>
      </w:r>
      <w:r w:rsidR="0015332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95B8B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https://doi.org/10.3390/healthcare12232337</w:t>
        </w:r>
      </w:hyperlink>
      <w:r w:rsidR="00A95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36E3F" w14:textId="77777777" w:rsidR="00F879B5" w:rsidRDefault="0095779A" w:rsidP="00957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42A70">
        <w:rPr>
          <w:rFonts w:ascii="Times New Roman" w:hAnsi="Times New Roman" w:cs="Times New Roman"/>
          <w:sz w:val="24"/>
          <w:szCs w:val="24"/>
        </w:rPr>
        <w:t>Dembek, C., Mackie, D., Modi, K., Zhu, Y., Niu, X., &amp; Grinnell, T. (2023). The economic and</w:t>
      </w:r>
    </w:p>
    <w:p w14:paraId="4AFADAED" w14:textId="3739599A" w:rsidR="0095779A" w:rsidRDefault="0095779A" w:rsidP="00F879B5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942A70">
        <w:rPr>
          <w:rFonts w:ascii="Times New Roman" w:hAnsi="Times New Roman" w:cs="Times New Roman"/>
          <w:sz w:val="24"/>
          <w:szCs w:val="24"/>
        </w:rPr>
        <w:t>humanistic burden of bipolar disorder in adults in the United States. </w:t>
      </w:r>
      <w:r w:rsidRPr="00942A70">
        <w:rPr>
          <w:rFonts w:ascii="Times New Roman" w:hAnsi="Times New Roman" w:cs="Times New Roman"/>
          <w:i/>
          <w:iCs/>
          <w:sz w:val="24"/>
          <w:szCs w:val="24"/>
        </w:rPr>
        <w:t>Annals of General Psychiatry</w:t>
      </w:r>
      <w:r w:rsidRPr="00942A70">
        <w:rPr>
          <w:rFonts w:ascii="Times New Roman" w:hAnsi="Times New Roman" w:cs="Times New Roman"/>
          <w:sz w:val="24"/>
          <w:szCs w:val="24"/>
        </w:rPr>
        <w:t>, </w:t>
      </w:r>
      <w:r w:rsidRPr="00942A70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942A70">
        <w:rPr>
          <w:rFonts w:ascii="Times New Roman" w:hAnsi="Times New Roman" w:cs="Times New Roman"/>
          <w:sz w:val="24"/>
          <w:szCs w:val="24"/>
        </w:rPr>
        <w:t>(1), 13.</w:t>
      </w:r>
      <w:r w:rsidR="00942A7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F074A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https://doi.org/10.1186/s12991-023-00440-7</w:t>
        </w:r>
      </w:hyperlink>
      <w:r w:rsidR="00FF0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0F3A9" w14:textId="77777777" w:rsidR="007C2E6E" w:rsidRDefault="007E0285" w:rsidP="007E02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3AFF">
        <w:rPr>
          <w:rFonts w:ascii="Times New Roman" w:hAnsi="Times New Roman" w:cs="Times New Roman"/>
          <w:sz w:val="24"/>
          <w:szCs w:val="24"/>
        </w:rPr>
        <w:t xml:space="preserve">Holcomb, J., Ferguson, G. M., Thornton, L., &amp; Highfield, L. (2022). Development, </w:t>
      </w:r>
    </w:p>
    <w:p w14:paraId="7205D148" w14:textId="63BD83AA" w:rsidR="007E0285" w:rsidRPr="00B83AFF" w:rsidRDefault="007E0285" w:rsidP="007C2E6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3AFF">
        <w:rPr>
          <w:rFonts w:ascii="Times New Roman" w:hAnsi="Times New Roman" w:cs="Times New Roman"/>
          <w:sz w:val="24"/>
          <w:szCs w:val="24"/>
        </w:rPr>
        <w:t>implementation, and evaluation of Teach Back curriculum for community health workers. </w:t>
      </w:r>
      <w:r w:rsidRPr="00B83AFF">
        <w:rPr>
          <w:rFonts w:ascii="Times New Roman" w:hAnsi="Times New Roman" w:cs="Times New Roman"/>
          <w:i/>
          <w:iCs/>
          <w:sz w:val="24"/>
          <w:szCs w:val="24"/>
        </w:rPr>
        <w:t>Frontiers in Medicine</w:t>
      </w:r>
      <w:r w:rsidRPr="00B83AFF">
        <w:rPr>
          <w:rFonts w:ascii="Times New Roman" w:hAnsi="Times New Roman" w:cs="Times New Roman"/>
          <w:sz w:val="24"/>
          <w:szCs w:val="24"/>
        </w:rPr>
        <w:t>, </w:t>
      </w:r>
      <w:r w:rsidRPr="00B83AF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B83AFF">
        <w:rPr>
          <w:rFonts w:ascii="Times New Roman" w:hAnsi="Times New Roman" w:cs="Times New Roman"/>
          <w:sz w:val="24"/>
          <w:szCs w:val="24"/>
        </w:rPr>
        <w:t>, 918686.</w:t>
      </w:r>
      <w:r w:rsidR="00B83AF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C2E6E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https://doi.org/10.3389/fmed.2022.918686</w:t>
        </w:r>
      </w:hyperlink>
      <w:r w:rsidR="007C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4BCD0" w14:textId="77777777" w:rsidR="004E0ED1" w:rsidRDefault="00A66DF6" w:rsidP="00A66D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6DF6">
        <w:rPr>
          <w:rFonts w:ascii="Times New Roman" w:hAnsi="Times New Roman" w:cs="Times New Roman"/>
          <w:sz w:val="24"/>
          <w:szCs w:val="24"/>
        </w:rPr>
        <w:t xml:space="preserve">Lin, Y. Y., Yen, W. J., Hou, W. L., Liao, W. C., &amp; Lin, M. L. (2022, March). Mental health </w:t>
      </w:r>
    </w:p>
    <w:p w14:paraId="31422077" w14:textId="27748666" w:rsidR="00A66DF6" w:rsidRPr="00EE2815" w:rsidRDefault="00A66DF6" w:rsidP="004E0ED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6DF6">
        <w:rPr>
          <w:rFonts w:ascii="Times New Roman" w:hAnsi="Times New Roman" w:cs="Times New Roman"/>
          <w:sz w:val="24"/>
          <w:szCs w:val="24"/>
        </w:rPr>
        <w:t>nurses’ tacit knowledge of strategies for improving medication adherence for schizophrenia: A qualitative study. In </w:t>
      </w:r>
      <w:r w:rsidRPr="00A66DF6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r w:rsidRPr="00A66DF6">
        <w:rPr>
          <w:rFonts w:ascii="Times New Roman" w:hAnsi="Times New Roman" w:cs="Times New Roman"/>
          <w:sz w:val="24"/>
          <w:szCs w:val="24"/>
        </w:rPr>
        <w:t> (Vol. 10, No. 3, p. 492). MDPI.</w:t>
      </w:r>
      <w:r w:rsidR="002D3EA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2D3EAA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https://doi.org/10.3390/healthcare10030492</w:t>
        </w:r>
      </w:hyperlink>
      <w:r w:rsidR="002D3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A0B29" w14:textId="77777777" w:rsidR="004A0EB7" w:rsidRDefault="00727CB4" w:rsidP="00727C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0EB7">
        <w:rPr>
          <w:rFonts w:ascii="Times New Roman" w:hAnsi="Times New Roman" w:cs="Times New Roman"/>
          <w:sz w:val="24"/>
          <w:szCs w:val="24"/>
        </w:rPr>
        <w:t xml:space="preserve">Loots, E., Goossens, E., </w:t>
      </w:r>
      <w:proofErr w:type="spellStart"/>
      <w:r w:rsidRPr="004A0EB7">
        <w:rPr>
          <w:rFonts w:ascii="Times New Roman" w:hAnsi="Times New Roman" w:cs="Times New Roman"/>
          <w:sz w:val="24"/>
          <w:szCs w:val="24"/>
        </w:rPr>
        <w:t>Vanwesemael</w:t>
      </w:r>
      <w:proofErr w:type="spellEnd"/>
      <w:r w:rsidRPr="004A0EB7">
        <w:rPr>
          <w:rFonts w:ascii="Times New Roman" w:hAnsi="Times New Roman" w:cs="Times New Roman"/>
          <w:sz w:val="24"/>
          <w:szCs w:val="24"/>
        </w:rPr>
        <w:t xml:space="preserve">, T., Morrens, M., Van Rompaey, B., &amp; </w:t>
      </w:r>
      <w:proofErr w:type="spellStart"/>
      <w:r w:rsidRPr="004A0EB7">
        <w:rPr>
          <w:rFonts w:ascii="Times New Roman" w:hAnsi="Times New Roman" w:cs="Times New Roman"/>
          <w:sz w:val="24"/>
          <w:szCs w:val="24"/>
        </w:rPr>
        <w:t>Dilles</w:t>
      </w:r>
      <w:proofErr w:type="spellEnd"/>
      <w:r w:rsidRPr="004A0EB7">
        <w:rPr>
          <w:rFonts w:ascii="Times New Roman" w:hAnsi="Times New Roman" w:cs="Times New Roman"/>
          <w:sz w:val="24"/>
          <w:szCs w:val="24"/>
        </w:rPr>
        <w:t xml:space="preserve">, T. (2021). </w:t>
      </w:r>
    </w:p>
    <w:p w14:paraId="5F5D7C10" w14:textId="07847F09" w:rsidR="00727CB4" w:rsidRDefault="00727CB4" w:rsidP="004A0EB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A0EB7">
        <w:rPr>
          <w:rFonts w:ascii="Times New Roman" w:hAnsi="Times New Roman" w:cs="Times New Roman"/>
          <w:sz w:val="24"/>
          <w:szCs w:val="24"/>
        </w:rPr>
        <w:lastRenderedPageBreak/>
        <w:t>Interventions to improve medication adherence in patients with schizophrenia or bipolar disorders: a systematic review and meta-analysis. </w:t>
      </w:r>
      <w:r w:rsidRPr="004A0EB7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4A0EB7">
        <w:rPr>
          <w:rFonts w:ascii="Times New Roman" w:hAnsi="Times New Roman" w:cs="Times New Roman"/>
          <w:sz w:val="24"/>
          <w:szCs w:val="24"/>
        </w:rPr>
        <w:t>, </w:t>
      </w:r>
      <w:r w:rsidRPr="004A0EB7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4A0EB7">
        <w:rPr>
          <w:rFonts w:ascii="Times New Roman" w:hAnsi="Times New Roman" w:cs="Times New Roman"/>
          <w:sz w:val="24"/>
          <w:szCs w:val="24"/>
        </w:rPr>
        <w:t>(19), 10213.</w:t>
      </w:r>
      <w:r w:rsidR="002C0CBE" w:rsidRPr="004A0EB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357C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https://doi.org/10.3390/ijerph181910213</w:t>
        </w:r>
      </w:hyperlink>
      <w:r w:rsidR="004A3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BD832" w14:textId="77777777" w:rsidR="00114086" w:rsidRDefault="00856B2E" w:rsidP="00856B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086">
        <w:rPr>
          <w:rFonts w:ascii="Times New Roman" w:hAnsi="Times New Roman" w:cs="Times New Roman"/>
          <w:sz w:val="24"/>
          <w:szCs w:val="24"/>
        </w:rPr>
        <w:t xml:space="preserve">Talevski, J., Wong </w:t>
      </w:r>
      <w:proofErr w:type="spellStart"/>
      <w:r w:rsidRPr="00114086">
        <w:rPr>
          <w:rFonts w:ascii="Times New Roman" w:hAnsi="Times New Roman" w:cs="Times New Roman"/>
          <w:sz w:val="24"/>
          <w:szCs w:val="24"/>
        </w:rPr>
        <w:t>Shee</w:t>
      </w:r>
      <w:proofErr w:type="spellEnd"/>
      <w:r w:rsidRPr="00114086">
        <w:rPr>
          <w:rFonts w:ascii="Times New Roman" w:hAnsi="Times New Roman" w:cs="Times New Roman"/>
          <w:sz w:val="24"/>
          <w:szCs w:val="24"/>
        </w:rPr>
        <w:t xml:space="preserve">, A., Rasmussen, B., Kemp, G., &amp; Beauchamp, A. (2020). Teach-back: a </w:t>
      </w:r>
    </w:p>
    <w:p w14:paraId="774A4DCE" w14:textId="7A71E3D1" w:rsidR="00856B2E" w:rsidRDefault="00856B2E" w:rsidP="0011408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14086">
        <w:rPr>
          <w:rFonts w:ascii="Times New Roman" w:hAnsi="Times New Roman" w:cs="Times New Roman"/>
          <w:sz w:val="24"/>
          <w:szCs w:val="24"/>
        </w:rPr>
        <w:t>systematic review of implementation and impacts. </w:t>
      </w:r>
      <w:proofErr w:type="spellStart"/>
      <w:r w:rsidRPr="00114086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114086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114086">
        <w:rPr>
          <w:rFonts w:ascii="Times New Roman" w:hAnsi="Times New Roman" w:cs="Times New Roman"/>
          <w:sz w:val="24"/>
          <w:szCs w:val="24"/>
        </w:rPr>
        <w:t>, </w:t>
      </w:r>
      <w:r w:rsidRPr="0011408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114086">
        <w:rPr>
          <w:rFonts w:ascii="Times New Roman" w:hAnsi="Times New Roman" w:cs="Times New Roman"/>
          <w:sz w:val="24"/>
          <w:szCs w:val="24"/>
        </w:rPr>
        <w:t>(4), e0231350.</w:t>
      </w:r>
      <w:r w:rsidR="00996B9D" w:rsidRPr="00114086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114086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https://doi.org/10.1371/journal.pone.0231350</w:t>
        </w:r>
      </w:hyperlink>
      <w:r w:rsidR="00114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8499D" w14:textId="77777777" w:rsidR="00794B69" w:rsidRDefault="00A0359B" w:rsidP="00A035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359B">
        <w:rPr>
          <w:rFonts w:ascii="Times New Roman" w:hAnsi="Times New Roman" w:cs="Times New Roman"/>
          <w:sz w:val="24"/>
          <w:szCs w:val="24"/>
        </w:rPr>
        <w:t xml:space="preserve">Tamene, F. B., </w:t>
      </w:r>
      <w:proofErr w:type="spellStart"/>
      <w:r w:rsidRPr="00A0359B">
        <w:rPr>
          <w:rFonts w:ascii="Times New Roman" w:hAnsi="Times New Roman" w:cs="Times New Roman"/>
          <w:sz w:val="24"/>
          <w:szCs w:val="24"/>
        </w:rPr>
        <w:t>Mihiretie</w:t>
      </w:r>
      <w:proofErr w:type="spellEnd"/>
      <w:r w:rsidRPr="00A0359B">
        <w:rPr>
          <w:rFonts w:ascii="Times New Roman" w:hAnsi="Times New Roman" w:cs="Times New Roman"/>
          <w:sz w:val="24"/>
          <w:szCs w:val="24"/>
        </w:rPr>
        <w:t xml:space="preserve">, E. A., Zeleke, T. K., </w:t>
      </w:r>
      <w:proofErr w:type="spellStart"/>
      <w:r w:rsidRPr="00A0359B">
        <w:rPr>
          <w:rFonts w:ascii="Times New Roman" w:hAnsi="Times New Roman" w:cs="Times New Roman"/>
          <w:sz w:val="24"/>
          <w:szCs w:val="24"/>
        </w:rPr>
        <w:t>Sendekie</w:t>
      </w:r>
      <w:proofErr w:type="spellEnd"/>
      <w:r w:rsidRPr="00A0359B">
        <w:rPr>
          <w:rFonts w:ascii="Times New Roman" w:hAnsi="Times New Roman" w:cs="Times New Roman"/>
          <w:sz w:val="24"/>
          <w:szCs w:val="24"/>
        </w:rPr>
        <w:t xml:space="preserve">, A. K., Belachew, E. A., &amp; </w:t>
      </w:r>
      <w:proofErr w:type="spellStart"/>
      <w:r w:rsidRPr="00A0359B">
        <w:rPr>
          <w:rFonts w:ascii="Times New Roman" w:hAnsi="Times New Roman" w:cs="Times New Roman"/>
          <w:sz w:val="24"/>
          <w:szCs w:val="24"/>
        </w:rPr>
        <w:t>Wondm</w:t>
      </w:r>
      <w:proofErr w:type="spellEnd"/>
      <w:r w:rsidRPr="00A0359B">
        <w:rPr>
          <w:rFonts w:ascii="Times New Roman" w:hAnsi="Times New Roman" w:cs="Times New Roman"/>
          <w:sz w:val="24"/>
          <w:szCs w:val="24"/>
        </w:rPr>
        <w:t xml:space="preserve">, S. A. </w:t>
      </w:r>
    </w:p>
    <w:p w14:paraId="5C5A714B" w14:textId="724680CE" w:rsidR="00A0359B" w:rsidRDefault="00A0359B" w:rsidP="00794B6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359B">
        <w:rPr>
          <w:rFonts w:ascii="Times New Roman" w:hAnsi="Times New Roman" w:cs="Times New Roman"/>
          <w:sz w:val="24"/>
          <w:szCs w:val="24"/>
        </w:rPr>
        <w:t>(2025). Medication non-adherence and its predictors among patients with bipolar disorder in Northwest Ethiopia. </w:t>
      </w:r>
      <w:r w:rsidRPr="00A0359B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A0359B">
        <w:rPr>
          <w:rFonts w:ascii="Times New Roman" w:hAnsi="Times New Roman" w:cs="Times New Roman"/>
          <w:sz w:val="24"/>
          <w:szCs w:val="24"/>
        </w:rPr>
        <w:t>, </w:t>
      </w:r>
      <w:r w:rsidRPr="00A0359B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A0359B">
        <w:rPr>
          <w:rFonts w:ascii="Times New Roman" w:hAnsi="Times New Roman" w:cs="Times New Roman"/>
          <w:sz w:val="24"/>
          <w:szCs w:val="24"/>
        </w:rPr>
        <w:t>(1), 1192.</w:t>
      </w:r>
      <w:r w:rsidR="00CF71B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794B69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https://doi.org/10.1038/s41598-025-85379-3</w:t>
        </w:r>
      </w:hyperlink>
      <w:r w:rsidR="00794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217FD" w14:textId="77777777" w:rsidR="001C4DF2" w:rsidRDefault="00124FBD" w:rsidP="00124F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4FBD">
        <w:rPr>
          <w:rFonts w:ascii="Times New Roman" w:hAnsi="Times New Roman" w:cs="Times New Roman"/>
          <w:sz w:val="24"/>
          <w:szCs w:val="24"/>
        </w:rPr>
        <w:t xml:space="preserve">Youn, H., Lee, M. S., Jeong, H. G., &amp; Kim, S. H. (2022). Evaluation of factors associated with </w:t>
      </w:r>
    </w:p>
    <w:p w14:paraId="22E57CE3" w14:textId="015D1959" w:rsidR="00124FBD" w:rsidRPr="00114086" w:rsidRDefault="00124FBD" w:rsidP="001C4DF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4FBD">
        <w:rPr>
          <w:rFonts w:ascii="Times New Roman" w:hAnsi="Times New Roman" w:cs="Times New Roman"/>
          <w:sz w:val="24"/>
          <w:szCs w:val="24"/>
        </w:rPr>
        <w:t>medication adherence in patients with bipolar disorder using a medication event monitoring system: a 6‐month follow‐up prospective study. </w:t>
      </w:r>
      <w:r w:rsidRPr="00124FBD">
        <w:rPr>
          <w:rFonts w:ascii="Times New Roman" w:hAnsi="Times New Roman" w:cs="Times New Roman"/>
          <w:i/>
          <w:iCs/>
          <w:sz w:val="24"/>
          <w:szCs w:val="24"/>
        </w:rPr>
        <w:t>Annals of General Psychiatry</w:t>
      </w:r>
      <w:r w:rsidRPr="00124FBD">
        <w:rPr>
          <w:rFonts w:ascii="Times New Roman" w:hAnsi="Times New Roman" w:cs="Times New Roman"/>
          <w:sz w:val="24"/>
          <w:szCs w:val="24"/>
        </w:rPr>
        <w:t>, </w:t>
      </w:r>
      <w:r w:rsidRPr="00124FBD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124FBD">
        <w:rPr>
          <w:rFonts w:ascii="Times New Roman" w:hAnsi="Times New Roman" w:cs="Times New Roman"/>
          <w:sz w:val="24"/>
          <w:szCs w:val="24"/>
        </w:rPr>
        <w:t>(1), 33.</w:t>
      </w:r>
      <w:r w:rsidR="00300E5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300E59" w:rsidRPr="001F73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https://doi.org/10.1186/s12991-022-00411-4</w:t>
        </w:r>
      </w:hyperlink>
      <w:r w:rsidR="00300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35D18" w14:textId="77777777" w:rsidR="004A78F0" w:rsidRDefault="004A78F0" w:rsidP="004A78F0"/>
    <w:p w14:paraId="79338DC2" w14:textId="77777777" w:rsidR="00036B41" w:rsidRDefault="00036B41"/>
    <w:sectPr w:rsidR="00036B41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CF1E" w14:textId="77777777" w:rsidR="00F67069" w:rsidRDefault="00F67069" w:rsidP="006F39F1">
      <w:pPr>
        <w:spacing w:after="0" w:line="240" w:lineRule="auto"/>
      </w:pPr>
      <w:r>
        <w:separator/>
      </w:r>
    </w:p>
  </w:endnote>
  <w:endnote w:type="continuationSeparator" w:id="0">
    <w:p w14:paraId="0D471687" w14:textId="77777777" w:rsidR="00F67069" w:rsidRDefault="00F67069" w:rsidP="006F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7C1" w14:textId="77777777" w:rsidR="00F67069" w:rsidRDefault="00F67069" w:rsidP="006F39F1">
      <w:pPr>
        <w:spacing w:after="0" w:line="240" w:lineRule="auto"/>
      </w:pPr>
      <w:r>
        <w:separator/>
      </w:r>
    </w:p>
  </w:footnote>
  <w:footnote w:type="continuationSeparator" w:id="0">
    <w:p w14:paraId="0290C787" w14:textId="77777777" w:rsidR="00F67069" w:rsidRDefault="00F67069" w:rsidP="006F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502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CD0C4B" w14:textId="39BEFF91" w:rsidR="006F39F1" w:rsidRDefault="006F39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FFC46" w14:textId="77777777" w:rsidR="006F39F1" w:rsidRDefault="006F39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0"/>
    <w:rsid w:val="000163B9"/>
    <w:rsid w:val="00020332"/>
    <w:rsid w:val="000208AE"/>
    <w:rsid w:val="00023745"/>
    <w:rsid w:val="0002509A"/>
    <w:rsid w:val="00036B41"/>
    <w:rsid w:val="00051BB8"/>
    <w:rsid w:val="00052ADE"/>
    <w:rsid w:val="0007517D"/>
    <w:rsid w:val="000755CF"/>
    <w:rsid w:val="00097518"/>
    <w:rsid w:val="000A1A0D"/>
    <w:rsid w:val="000A21A2"/>
    <w:rsid w:val="000B301D"/>
    <w:rsid w:val="000B61E6"/>
    <w:rsid w:val="000C565E"/>
    <w:rsid w:val="000D06CA"/>
    <w:rsid w:val="000D1795"/>
    <w:rsid w:val="000D36BB"/>
    <w:rsid w:val="000D6E4B"/>
    <w:rsid w:val="000E0549"/>
    <w:rsid w:val="000E583C"/>
    <w:rsid w:val="000E6674"/>
    <w:rsid w:val="000F2E95"/>
    <w:rsid w:val="00114086"/>
    <w:rsid w:val="00124D78"/>
    <w:rsid w:val="00124FBD"/>
    <w:rsid w:val="00130E2F"/>
    <w:rsid w:val="00137EE0"/>
    <w:rsid w:val="0015332E"/>
    <w:rsid w:val="00161F52"/>
    <w:rsid w:val="00162472"/>
    <w:rsid w:val="00163F8F"/>
    <w:rsid w:val="00170DA4"/>
    <w:rsid w:val="0017497B"/>
    <w:rsid w:val="00182E3F"/>
    <w:rsid w:val="00182F17"/>
    <w:rsid w:val="00195ADF"/>
    <w:rsid w:val="00196E69"/>
    <w:rsid w:val="00197C01"/>
    <w:rsid w:val="001B0010"/>
    <w:rsid w:val="001B1213"/>
    <w:rsid w:val="001B47F0"/>
    <w:rsid w:val="001B7EA5"/>
    <w:rsid w:val="001C4DF2"/>
    <w:rsid w:val="001C516C"/>
    <w:rsid w:val="001D37FC"/>
    <w:rsid w:val="001D7180"/>
    <w:rsid w:val="001E3601"/>
    <w:rsid w:val="00202BE4"/>
    <w:rsid w:val="00217785"/>
    <w:rsid w:val="00221E68"/>
    <w:rsid w:val="00234CDC"/>
    <w:rsid w:val="002352F2"/>
    <w:rsid w:val="00262D42"/>
    <w:rsid w:val="0027708B"/>
    <w:rsid w:val="002822D9"/>
    <w:rsid w:val="00282E1C"/>
    <w:rsid w:val="002833F9"/>
    <w:rsid w:val="00283790"/>
    <w:rsid w:val="00286E82"/>
    <w:rsid w:val="002872E5"/>
    <w:rsid w:val="002963FD"/>
    <w:rsid w:val="002C0023"/>
    <w:rsid w:val="002C0CBE"/>
    <w:rsid w:val="002C64D1"/>
    <w:rsid w:val="002D198E"/>
    <w:rsid w:val="002D3EAA"/>
    <w:rsid w:val="002D6DB3"/>
    <w:rsid w:val="00300E59"/>
    <w:rsid w:val="00321C0E"/>
    <w:rsid w:val="0033088C"/>
    <w:rsid w:val="0034355D"/>
    <w:rsid w:val="003447A6"/>
    <w:rsid w:val="00344812"/>
    <w:rsid w:val="0035514E"/>
    <w:rsid w:val="00357A2C"/>
    <w:rsid w:val="0036135A"/>
    <w:rsid w:val="003658F2"/>
    <w:rsid w:val="00380407"/>
    <w:rsid w:val="003877F7"/>
    <w:rsid w:val="003A0F6E"/>
    <w:rsid w:val="003A4041"/>
    <w:rsid w:val="003C0AD4"/>
    <w:rsid w:val="003D1E65"/>
    <w:rsid w:val="003D4416"/>
    <w:rsid w:val="003E4062"/>
    <w:rsid w:val="003F3EF7"/>
    <w:rsid w:val="00403868"/>
    <w:rsid w:val="00420AA1"/>
    <w:rsid w:val="00424F4F"/>
    <w:rsid w:val="00435FDE"/>
    <w:rsid w:val="004369BC"/>
    <w:rsid w:val="004433B4"/>
    <w:rsid w:val="0045002B"/>
    <w:rsid w:val="00451A2A"/>
    <w:rsid w:val="00453265"/>
    <w:rsid w:val="00453DD2"/>
    <w:rsid w:val="004552DE"/>
    <w:rsid w:val="00461C50"/>
    <w:rsid w:val="004625DF"/>
    <w:rsid w:val="00464BF3"/>
    <w:rsid w:val="00471391"/>
    <w:rsid w:val="0047669C"/>
    <w:rsid w:val="00480F0B"/>
    <w:rsid w:val="00487AF9"/>
    <w:rsid w:val="004A0EB7"/>
    <w:rsid w:val="004A357C"/>
    <w:rsid w:val="004A5DEE"/>
    <w:rsid w:val="004A78F0"/>
    <w:rsid w:val="004B41D1"/>
    <w:rsid w:val="004D3C76"/>
    <w:rsid w:val="004D5FE6"/>
    <w:rsid w:val="004E0ED1"/>
    <w:rsid w:val="004F2B83"/>
    <w:rsid w:val="004F5819"/>
    <w:rsid w:val="004F5DC4"/>
    <w:rsid w:val="004F7B0B"/>
    <w:rsid w:val="00501637"/>
    <w:rsid w:val="00503DB7"/>
    <w:rsid w:val="005074BA"/>
    <w:rsid w:val="005108C1"/>
    <w:rsid w:val="00516FD9"/>
    <w:rsid w:val="00520067"/>
    <w:rsid w:val="00520B69"/>
    <w:rsid w:val="00520F52"/>
    <w:rsid w:val="00540693"/>
    <w:rsid w:val="0055514B"/>
    <w:rsid w:val="00565EEA"/>
    <w:rsid w:val="0057558B"/>
    <w:rsid w:val="00587B01"/>
    <w:rsid w:val="0059635D"/>
    <w:rsid w:val="005C1337"/>
    <w:rsid w:val="005C1AF1"/>
    <w:rsid w:val="005C1BCA"/>
    <w:rsid w:val="005D2338"/>
    <w:rsid w:val="005E0BF6"/>
    <w:rsid w:val="005F660D"/>
    <w:rsid w:val="006002EC"/>
    <w:rsid w:val="00601D62"/>
    <w:rsid w:val="00613494"/>
    <w:rsid w:val="00626E79"/>
    <w:rsid w:val="00630660"/>
    <w:rsid w:val="006332A6"/>
    <w:rsid w:val="00633456"/>
    <w:rsid w:val="00650538"/>
    <w:rsid w:val="00653D20"/>
    <w:rsid w:val="00665397"/>
    <w:rsid w:val="00671459"/>
    <w:rsid w:val="00671871"/>
    <w:rsid w:val="00684D68"/>
    <w:rsid w:val="00687CF0"/>
    <w:rsid w:val="006B2A5D"/>
    <w:rsid w:val="006C3957"/>
    <w:rsid w:val="006D595C"/>
    <w:rsid w:val="006D68E7"/>
    <w:rsid w:val="006E40FD"/>
    <w:rsid w:val="006E45AF"/>
    <w:rsid w:val="006E595E"/>
    <w:rsid w:val="006E7843"/>
    <w:rsid w:val="006F39F1"/>
    <w:rsid w:val="006F7850"/>
    <w:rsid w:val="007027FA"/>
    <w:rsid w:val="00705685"/>
    <w:rsid w:val="007114BB"/>
    <w:rsid w:val="00713FF3"/>
    <w:rsid w:val="00715325"/>
    <w:rsid w:val="00722CD5"/>
    <w:rsid w:val="00724E61"/>
    <w:rsid w:val="0072608C"/>
    <w:rsid w:val="00727CB4"/>
    <w:rsid w:val="00737539"/>
    <w:rsid w:val="00762CA6"/>
    <w:rsid w:val="00762CE0"/>
    <w:rsid w:val="0078126A"/>
    <w:rsid w:val="00794B69"/>
    <w:rsid w:val="007A3673"/>
    <w:rsid w:val="007B3E73"/>
    <w:rsid w:val="007C10FE"/>
    <w:rsid w:val="007C2E6E"/>
    <w:rsid w:val="007C45F8"/>
    <w:rsid w:val="007D7C3E"/>
    <w:rsid w:val="007E0285"/>
    <w:rsid w:val="007E0AFD"/>
    <w:rsid w:val="007E5C42"/>
    <w:rsid w:val="008022BA"/>
    <w:rsid w:val="00803727"/>
    <w:rsid w:val="00805541"/>
    <w:rsid w:val="008218D5"/>
    <w:rsid w:val="0083177A"/>
    <w:rsid w:val="00852188"/>
    <w:rsid w:val="00856B2E"/>
    <w:rsid w:val="00866F83"/>
    <w:rsid w:val="00874C69"/>
    <w:rsid w:val="008773A0"/>
    <w:rsid w:val="00880E00"/>
    <w:rsid w:val="008837E4"/>
    <w:rsid w:val="008865DD"/>
    <w:rsid w:val="008A78BF"/>
    <w:rsid w:val="008C035D"/>
    <w:rsid w:val="008C3D7C"/>
    <w:rsid w:val="008C47B2"/>
    <w:rsid w:val="008D6947"/>
    <w:rsid w:val="008E3387"/>
    <w:rsid w:val="008E66E5"/>
    <w:rsid w:val="008E7A9A"/>
    <w:rsid w:val="008E7BBA"/>
    <w:rsid w:val="008F25A4"/>
    <w:rsid w:val="008F7325"/>
    <w:rsid w:val="009150E0"/>
    <w:rsid w:val="009200C6"/>
    <w:rsid w:val="009224C8"/>
    <w:rsid w:val="009305A8"/>
    <w:rsid w:val="00937BE5"/>
    <w:rsid w:val="00940033"/>
    <w:rsid w:val="00942A70"/>
    <w:rsid w:val="0094639C"/>
    <w:rsid w:val="00950374"/>
    <w:rsid w:val="0095366D"/>
    <w:rsid w:val="00957424"/>
    <w:rsid w:val="0095779A"/>
    <w:rsid w:val="00957F02"/>
    <w:rsid w:val="00960B37"/>
    <w:rsid w:val="0098054F"/>
    <w:rsid w:val="0098363E"/>
    <w:rsid w:val="0098406F"/>
    <w:rsid w:val="009849BC"/>
    <w:rsid w:val="009863FD"/>
    <w:rsid w:val="00990A0B"/>
    <w:rsid w:val="00996B9D"/>
    <w:rsid w:val="009A4CEF"/>
    <w:rsid w:val="009B03EA"/>
    <w:rsid w:val="009B0989"/>
    <w:rsid w:val="009B4396"/>
    <w:rsid w:val="009C5672"/>
    <w:rsid w:val="009D194B"/>
    <w:rsid w:val="009D4F22"/>
    <w:rsid w:val="009F19C8"/>
    <w:rsid w:val="00A0359B"/>
    <w:rsid w:val="00A128F9"/>
    <w:rsid w:val="00A1463C"/>
    <w:rsid w:val="00A16795"/>
    <w:rsid w:val="00A30C1B"/>
    <w:rsid w:val="00A33A8E"/>
    <w:rsid w:val="00A3520B"/>
    <w:rsid w:val="00A5176C"/>
    <w:rsid w:val="00A66DF6"/>
    <w:rsid w:val="00A75984"/>
    <w:rsid w:val="00A95B8B"/>
    <w:rsid w:val="00AA05E4"/>
    <w:rsid w:val="00AA6ECA"/>
    <w:rsid w:val="00AB5750"/>
    <w:rsid w:val="00AD15AD"/>
    <w:rsid w:val="00B15591"/>
    <w:rsid w:val="00B26C51"/>
    <w:rsid w:val="00B45EBA"/>
    <w:rsid w:val="00B560B1"/>
    <w:rsid w:val="00B57744"/>
    <w:rsid w:val="00B57964"/>
    <w:rsid w:val="00B8091C"/>
    <w:rsid w:val="00B83AFF"/>
    <w:rsid w:val="00B84E93"/>
    <w:rsid w:val="00B8761E"/>
    <w:rsid w:val="00B943DC"/>
    <w:rsid w:val="00B9501B"/>
    <w:rsid w:val="00BB0F83"/>
    <w:rsid w:val="00BB3D1F"/>
    <w:rsid w:val="00BB775D"/>
    <w:rsid w:val="00BC251F"/>
    <w:rsid w:val="00BC3480"/>
    <w:rsid w:val="00C00CC9"/>
    <w:rsid w:val="00C366F3"/>
    <w:rsid w:val="00C37074"/>
    <w:rsid w:val="00C45E2B"/>
    <w:rsid w:val="00C47E5D"/>
    <w:rsid w:val="00C56622"/>
    <w:rsid w:val="00C6779D"/>
    <w:rsid w:val="00C67CA2"/>
    <w:rsid w:val="00C768E0"/>
    <w:rsid w:val="00C9155D"/>
    <w:rsid w:val="00CB5C8F"/>
    <w:rsid w:val="00CD221A"/>
    <w:rsid w:val="00CD46A1"/>
    <w:rsid w:val="00CF34B0"/>
    <w:rsid w:val="00CF71B8"/>
    <w:rsid w:val="00D03C93"/>
    <w:rsid w:val="00D04D6A"/>
    <w:rsid w:val="00D15354"/>
    <w:rsid w:val="00D24BC9"/>
    <w:rsid w:val="00D32C9A"/>
    <w:rsid w:val="00D4008E"/>
    <w:rsid w:val="00D43736"/>
    <w:rsid w:val="00D448EA"/>
    <w:rsid w:val="00D66F75"/>
    <w:rsid w:val="00D675D8"/>
    <w:rsid w:val="00D71709"/>
    <w:rsid w:val="00D84DEA"/>
    <w:rsid w:val="00DA0721"/>
    <w:rsid w:val="00DA6137"/>
    <w:rsid w:val="00DB06AA"/>
    <w:rsid w:val="00DB2F56"/>
    <w:rsid w:val="00DB6D87"/>
    <w:rsid w:val="00DB6E7A"/>
    <w:rsid w:val="00DD2254"/>
    <w:rsid w:val="00DE71CF"/>
    <w:rsid w:val="00DF39DC"/>
    <w:rsid w:val="00DF5498"/>
    <w:rsid w:val="00E06979"/>
    <w:rsid w:val="00E24325"/>
    <w:rsid w:val="00E253E8"/>
    <w:rsid w:val="00E268C4"/>
    <w:rsid w:val="00E26C2D"/>
    <w:rsid w:val="00E47746"/>
    <w:rsid w:val="00E51FE5"/>
    <w:rsid w:val="00E6607A"/>
    <w:rsid w:val="00E70FC7"/>
    <w:rsid w:val="00E71D75"/>
    <w:rsid w:val="00E77A4A"/>
    <w:rsid w:val="00E87924"/>
    <w:rsid w:val="00E90D03"/>
    <w:rsid w:val="00E97D8B"/>
    <w:rsid w:val="00EE2815"/>
    <w:rsid w:val="00EE48CE"/>
    <w:rsid w:val="00EE50B1"/>
    <w:rsid w:val="00F15442"/>
    <w:rsid w:val="00F2291B"/>
    <w:rsid w:val="00F25CCF"/>
    <w:rsid w:val="00F27FED"/>
    <w:rsid w:val="00F32476"/>
    <w:rsid w:val="00F40AF8"/>
    <w:rsid w:val="00F50DEF"/>
    <w:rsid w:val="00F54924"/>
    <w:rsid w:val="00F62793"/>
    <w:rsid w:val="00F67069"/>
    <w:rsid w:val="00F7460D"/>
    <w:rsid w:val="00F74638"/>
    <w:rsid w:val="00F74C01"/>
    <w:rsid w:val="00F8685D"/>
    <w:rsid w:val="00F879B5"/>
    <w:rsid w:val="00F91CC2"/>
    <w:rsid w:val="00F974EF"/>
    <w:rsid w:val="00FA5E8B"/>
    <w:rsid w:val="00FA7EF2"/>
    <w:rsid w:val="00FB165F"/>
    <w:rsid w:val="00FB71BB"/>
    <w:rsid w:val="00FC2DE5"/>
    <w:rsid w:val="00FD3192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C76B"/>
  <w15:chartTrackingRefBased/>
  <w15:docId w15:val="{0AA9EDE5-0137-489C-9057-E8D3525A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F0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8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8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8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8F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8F0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8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78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F1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F1"/>
    <w:rPr>
      <w:sz w:val="22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A3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31350" TargetMode="External"/><Relationship Id="rId13" Type="http://schemas.openxmlformats.org/officeDocument/2006/relationships/hyperlink" Target="https://doi.org/10.1186/s12991-023-00440-7" TargetMode="External"/><Relationship Id="rId18" Type="http://schemas.openxmlformats.org/officeDocument/2006/relationships/hyperlink" Target="https://doi.org/10.1038/s41598-025-85379-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3390/ijerph181910213" TargetMode="External"/><Relationship Id="rId12" Type="http://schemas.openxmlformats.org/officeDocument/2006/relationships/hyperlink" Target="https://doi.org/10.3390/healthcare12232337" TargetMode="External"/><Relationship Id="rId17" Type="http://schemas.openxmlformats.org/officeDocument/2006/relationships/hyperlink" Target="https://doi.org/10.1371/journal.pone.02313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390/ijerph18191021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3389/fmed.2022.918686" TargetMode="External"/><Relationship Id="rId11" Type="http://schemas.openxmlformats.org/officeDocument/2006/relationships/hyperlink" Target="https://scholarworks.waldenu.edu/dissertations?utm_source=scholarworks.waldenu.edu%2Fdissertations%2F16725&amp;utm_medium=PDF&amp;utm_campaign=PDFCoverPag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3390/healthcare10030492" TargetMode="External"/><Relationship Id="rId10" Type="http://schemas.openxmlformats.org/officeDocument/2006/relationships/hyperlink" Target="https://scholarworks.waldenu.edu/dissertations?utm_source=scholarworks.waldenu.edu%2Fdissertations%2F16725&amp;utm_medium=PDF&amp;utm_campaign=PDFCoverPages" TargetMode="External"/><Relationship Id="rId19" Type="http://schemas.openxmlformats.org/officeDocument/2006/relationships/hyperlink" Target="https://doi.org/10.1186/s12991-022-00411-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healthcare12232337" TargetMode="External"/><Relationship Id="rId14" Type="http://schemas.openxmlformats.org/officeDocument/2006/relationships/hyperlink" Target="https://doi.org/10.3389/fmed.2022.9186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339</cp:revision>
  <dcterms:created xsi:type="dcterms:W3CDTF">2025-03-24T18:13:00Z</dcterms:created>
  <dcterms:modified xsi:type="dcterms:W3CDTF">2025-03-25T13:06:00Z</dcterms:modified>
</cp:coreProperties>
</file>